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0"/>
        <w:gridCol w:w="7511"/>
      </w:tblGrid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70686">
              <w:rPr>
                <w:b/>
                <w:bCs/>
                <w:sz w:val="28"/>
                <w:szCs w:val="28"/>
              </w:rPr>
              <w:t>Правила професійної етики з використання об’єктів енергетичної інфраструктури для розміщення телекомунікаційних мереж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706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Пропозиції ІнАУ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706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Оператори, провайдери телекомунікація, Антимонопольний комітет України (далі - АМК),Українська асоціація операторів зв'язку «Телас», Інтернет Асоціація України……</w:t>
            </w:r>
          </w:p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A7068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(далі – Оператори, провайдери телекомунікацій)</w:t>
            </w:r>
          </w:p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uk-UA"/>
              </w:rPr>
            </w:pPr>
          </w:p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706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uk-UA"/>
              </w:rPr>
              <w:t>….. (далі - енергопостачаючі організації)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A70686">
              <w:rPr>
                <w:sz w:val="28"/>
                <w:szCs w:val="28"/>
                <w:shd w:val="clear" w:color="auto" w:fill="FFFFFF"/>
              </w:rPr>
              <w:t>Енергопостачальник</w:t>
            </w:r>
            <w:r w:rsidRPr="008E4C0F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A70686">
              <w:rPr>
                <w:rStyle w:val="BodyTextChar"/>
                <w:sz w:val="28"/>
                <w:szCs w:val="28"/>
                <w:lang w:val="uk-UA"/>
              </w:rPr>
              <w:t xml:space="preserve">особа правомочна  на укладення договорів </w:t>
            </w:r>
            <w:r w:rsidRPr="00A70686">
              <w:rPr>
                <w:sz w:val="28"/>
                <w:szCs w:val="28"/>
                <w:shd w:val="clear" w:color="auto" w:fill="FFFFFF"/>
              </w:rPr>
              <w:t>та надає дозвіл на використання об’єктів енергетичної інфраструктури для розміщення телекомунікаційних мереж;</w:t>
            </w:r>
          </w:p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7511" w:type="dxa"/>
          </w:tcPr>
          <w:p w:rsidR="006943A7" w:rsidRPr="008E4C0F" w:rsidRDefault="006943A7" w:rsidP="008E4C0F">
            <w:pPr>
              <w:pStyle w:val="110"/>
              <w:shd w:val="clear" w:color="auto" w:fill="auto"/>
              <w:spacing w:before="0" w:after="120" w:line="240" w:lineRule="auto"/>
              <w:rPr>
                <w:b/>
                <w:bCs/>
                <w:color w:val="008000"/>
                <w:sz w:val="28"/>
                <w:szCs w:val="28"/>
                <w:shd w:val="clear" w:color="auto" w:fill="FFFFFF"/>
              </w:rPr>
            </w:pPr>
            <w:r w:rsidRPr="008E4C0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lang w:val="ru-RU" w:eastAsia="uk-UA"/>
              </w:rPr>
              <w:t>З</w:t>
            </w:r>
            <w:r w:rsidRPr="008E4C0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lang w:eastAsia="uk-UA"/>
              </w:rPr>
              <w:t xml:space="preserve"> метою унеможливлення  корупційних складових а  також захисту економічної конкуренції.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06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усвідомлюючи спільну відповідальність за забезпечення динамічного та ефективного розвитку телекомунікацій в Україні;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06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розглядаючи телекомунікації як невід’ємну складову виробничої та соціальної інфраструктури України: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06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керуючись спільним бажанням забезпечити споживачам вільний і прозорий вибір та доступ до телекомунікаційних послуг;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06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дбаючи про задоволення потреб споживачів передовими та якісними телекомунікаційними послугами;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706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визнаючи важливість конструктивного співробітництва, що має ґрунтуватися на засадах взаємної поваги, конкуренції, добросовісності та прозорості;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1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спільно розробили та затвердили Правила професійної етики з використання інфраструктури об’єктів енергетики для розміщення телекомунікаційних мереж (далі - Правила) у порядку, визначеному ст.ЗЗ Закону України «Про захист від недобросовісної конкуренції», і зобов'язуються в подальшому дотримуватися цих Правил.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A70686">
              <w:rPr>
                <w:b/>
                <w:bCs/>
                <w:sz w:val="22"/>
                <w:szCs w:val="22"/>
              </w:rPr>
              <w:t>Розділ 1. Загальні вимоги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Ці Правила розроблені відповідно: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Закону України «Про телекомунікації»,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Закону України «Про електроенергетику»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Закону України «Про захист від недобросовісної конкуренції»,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Правил охорони електричних мереж, затверджених постановою Кабінету Міністрів України від 4 березня 1997 р. N 209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Правил користування електричною енергією, затверджених Постановою Національної комісії з питань регулювання електроенергетики України від 31 липня 1996 року N 28 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Правил технічної експлуатації електроустановок споживачів, затверджених Наказом Міністерства палива та енергетики України від 25 липня 2006 року N 258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Правил безпечної експлуатації електроустановок споживачів, затверджених Наказом Комітету по нагляду за охороною праці та Міністерства праці та соціальної політики України від 9 січня 1998 року  N 4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  <w:highlight w:val="lightGray"/>
              </w:rPr>
            </w:pPr>
            <w:r w:rsidRPr="00A70686">
              <w:rPr>
                <w:sz w:val="22"/>
                <w:szCs w:val="22"/>
                <w:highlight w:val="lightGray"/>
              </w:rPr>
              <w:t xml:space="preserve">Правил улаштування електроустановок,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Керівництва щодо будівництва лінійних споруд волоконно-оптичних ліній зв'язку, Керівний нормативний документ Державного комітету зв1язку та інформатизації (КНД 45-141-99)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  <w:highlight w:val="lightGray"/>
              </w:rPr>
            </w:pPr>
            <w:r w:rsidRPr="00A70686">
              <w:rPr>
                <w:sz w:val="22"/>
                <w:szCs w:val="22"/>
                <w:highlight w:val="lightGray"/>
              </w:rPr>
              <w:t>Правил безпеки при роботах на кабельних лініях зв'язку i проводового мовлення, затверджених наказом Державного комітету України по нагляду за охороною праці від 17 травня 2006 № 85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 "Проектування, будівництво та експлуатація волоконно-оптичних ліній зв'язку по повітряних лініях електропередавання" (ГКД 34.48.151-2003),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2"/>
              </w:numPr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Рекомендацій з підвішування оптичних кабелів на опорах повітряних ліній зв'язку, ЛЕП, контактної мережі залізниць.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ind w:left="56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ind w:left="7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70686">
              <w:rPr>
                <w:rFonts w:ascii="Calibri" w:hAnsi="Calibri" w:cs="Calibri"/>
                <w:color w:val="1F497D"/>
                <w:sz w:val="22"/>
                <w:szCs w:val="22"/>
              </w:rPr>
              <w:t>ГНД 34.05.836 -2004,</w:t>
            </w:r>
          </w:p>
          <w:p w:rsidR="006943A7" w:rsidRPr="00A70686" w:rsidRDefault="006943A7" w:rsidP="00A70686">
            <w:pPr>
              <w:ind w:left="7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70686">
              <w:rPr>
                <w:rFonts w:ascii="Calibri" w:hAnsi="Calibri" w:cs="Calibri"/>
                <w:color w:val="1F497D"/>
                <w:sz w:val="22"/>
                <w:szCs w:val="22"/>
              </w:rPr>
              <w:t>СОУ 40.1-00130044-834:2010</w:t>
            </w:r>
          </w:p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3"/>
              </w:numPr>
              <w:tabs>
                <w:tab w:val="left" w:pos="993"/>
              </w:tabs>
              <w:spacing w:after="120"/>
              <w:ind w:left="0" w:firstLine="567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Правилами професійної етики визначають основні правила та принципи </w:t>
            </w:r>
            <w:r w:rsidRPr="00A70686">
              <w:rPr>
                <w:color w:val="70AD47"/>
                <w:sz w:val="22"/>
                <w:szCs w:val="22"/>
              </w:rPr>
              <w:t>компенсації витрат з використання опор ПЛ04/10 кВ.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tabs>
                <w:tab w:val="left" w:pos="993"/>
              </w:tabs>
              <w:spacing w:after="120"/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A70686">
              <w:rPr>
                <w:b/>
                <w:bCs/>
                <w:color w:val="70AD47"/>
                <w:sz w:val="22"/>
                <w:szCs w:val="22"/>
              </w:rPr>
              <w:t>Правилами професійної етики визначають основні правила та принципи  використання об’єктів енергетичної інфраструктури для розміщення телекомунікаційних мереж, (далі – Правила)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3"/>
              </w:numPr>
              <w:tabs>
                <w:tab w:val="left" w:pos="993"/>
              </w:tabs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У цих Правилах вживаються наступні терміни: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tabs>
                <w:tab w:val="left" w:pos="993"/>
              </w:tabs>
              <w:spacing w:after="120"/>
              <w:ind w:left="927"/>
              <w:jc w:val="both"/>
              <w:rPr>
                <w:sz w:val="22"/>
                <w:szCs w:val="22"/>
              </w:rPr>
            </w:pPr>
          </w:p>
        </w:tc>
      </w:tr>
      <w:tr w:rsidR="006943A7" w:rsidRPr="00D76F2C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tabs>
                <w:tab w:val="left" w:pos="993"/>
              </w:tabs>
              <w:spacing w:after="12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A70686">
              <w:rPr>
                <w:i/>
                <w:iCs/>
                <w:sz w:val="22"/>
                <w:szCs w:val="22"/>
              </w:rPr>
              <w:t>Пункт потребує обговорення та доповнення</w:t>
            </w:r>
          </w:p>
          <w:p w:rsidR="006943A7" w:rsidRPr="00A70686" w:rsidRDefault="006943A7" w:rsidP="00A70686">
            <w:pPr>
              <w:pStyle w:val="ListParagraph"/>
              <w:tabs>
                <w:tab w:val="left" w:pos="993"/>
              </w:tabs>
              <w:spacing w:after="120"/>
              <w:ind w:left="0"/>
              <w:jc w:val="both"/>
              <w:rPr>
                <w:i/>
                <w:iCs/>
                <w:sz w:val="22"/>
                <w:szCs w:val="22"/>
              </w:rPr>
            </w:pPr>
          </w:p>
          <w:p w:rsidR="006943A7" w:rsidRPr="00A70686" w:rsidRDefault="006943A7" w:rsidP="00A70686">
            <w:pPr>
              <w:ind w:firstLine="720"/>
              <w:jc w:val="both"/>
              <w:rPr>
                <w:b/>
                <w:bCs/>
                <w:sz w:val="22"/>
                <w:szCs w:val="22"/>
              </w:rPr>
            </w:pPr>
            <w:r w:rsidRPr="00A70686">
              <w:rPr>
                <w:b/>
                <w:bCs/>
                <w:sz w:val="22"/>
                <w:szCs w:val="22"/>
              </w:rPr>
              <w:t xml:space="preserve">доступ до інфраструктури об’єктів електроенергетики– користування елементами </w:t>
            </w:r>
            <w:r w:rsidRPr="00A70686">
              <w:rPr>
                <w:sz w:val="22"/>
                <w:szCs w:val="22"/>
              </w:rPr>
              <w:t>інфраструктури об’єктів електроенергетики для розташування, модернізації та експлуатації технічних засобів телекомунікацій замовником на підставі договору.</w:t>
            </w:r>
          </w:p>
          <w:p w:rsidR="006943A7" w:rsidRPr="00A70686" w:rsidRDefault="006943A7" w:rsidP="00A70686">
            <w:pPr>
              <w:pStyle w:val="ListParagraph"/>
              <w:tabs>
                <w:tab w:val="left" w:pos="993"/>
              </w:tabs>
              <w:spacing w:after="120"/>
              <w:ind w:left="0"/>
              <w:jc w:val="both"/>
              <w:rPr>
                <w:i/>
                <w:iCs/>
                <w:sz w:val="22"/>
                <w:szCs w:val="22"/>
              </w:rPr>
            </w:pPr>
          </w:p>
          <w:p w:rsidR="006943A7" w:rsidRPr="00A70686" w:rsidRDefault="006943A7" w:rsidP="00A70686">
            <w:pPr>
              <w:jc w:val="both"/>
              <w:rPr>
                <w:i/>
                <w:iCs/>
                <w:strike/>
                <w:sz w:val="20"/>
                <w:szCs w:val="20"/>
              </w:rPr>
            </w:pPr>
            <w:r w:rsidRPr="00A70686">
              <w:rPr>
                <w:b/>
                <w:bCs/>
                <w:strike/>
                <w:sz w:val="22"/>
                <w:szCs w:val="22"/>
              </w:rPr>
              <w:t xml:space="preserve">інфраструктураоб’єктів електроенергетики – </w:t>
            </w:r>
            <w:r w:rsidRPr="00A70686">
              <w:rPr>
                <w:strike/>
                <w:sz w:val="22"/>
                <w:szCs w:val="22"/>
              </w:rPr>
              <w:t xml:space="preserve">об’єкти електроенергетики,опори ліній електропередавання, сукупність енергетичних установок для передачі та розподілу електричної енергії, які надаються або можуть надаватисьвласником (володільцем) у користуваннязамовнику на договірних засадах </w:t>
            </w:r>
            <w:r w:rsidRPr="00A70686">
              <w:rPr>
                <w:rFonts w:ascii="Arial" w:hAnsi="Arial" w:cs="Arial"/>
                <w:strike/>
                <w:sz w:val="22"/>
                <w:szCs w:val="22"/>
              </w:rPr>
              <w:t>для потреб телекомунікацій і телебачення</w:t>
            </w:r>
          </w:p>
          <w:p w:rsidR="006943A7" w:rsidRPr="00A70686" w:rsidRDefault="006943A7" w:rsidP="00A70686">
            <w:pPr>
              <w:pStyle w:val="ListParagraph"/>
              <w:tabs>
                <w:tab w:val="left" w:pos="993"/>
              </w:tabs>
              <w:spacing w:after="120"/>
              <w:ind w:left="0"/>
              <w:jc w:val="both"/>
              <w:rPr>
                <w:i/>
                <w:iCs/>
                <w:sz w:val="22"/>
                <w:szCs w:val="22"/>
              </w:rPr>
            </w:pPr>
          </w:p>
          <w:p w:rsidR="006943A7" w:rsidRPr="00A70686" w:rsidRDefault="006943A7" w:rsidP="00A70686">
            <w:pPr>
              <w:ind w:firstLine="720"/>
              <w:jc w:val="both"/>
              <w:rPr>
                <w:b/>
                <w:bCs/>
                <w:sz w:val="22"/>
                <w:szCs w:val="22"/>
                <w:highlight w:val="green"/>
              </w:rPr>
            </w:pPr>
            <w:r w:rsidRPr="00A70686">
              <w:rPr>
                <w:b/>
                <w:bCs/>
                <w:sz w:val="22"/>
                <w:szCs w:val="22"/>
              </w:rPr>
              <w:t xml:space="preserve">розвиток телекомунікаційних мереж – </w:t>
            </w:r>
            <w:r w:rsidRPr="00A70686">
              <w:rPr>
                <w:sz w:val="22"/>
                <w:szCs w:val="22"/>
              </w:rPr>
              <w:t xml:space="preserve">нове будівництво, реконструкція та/або </w:t>
            </w:r>
            <w:r w:rsidRPr="00A70686">
              <w:rPr>
                <w:b/>
                <w:bCs/>
                <w:sz w:val="22"/>
                <w:szCs w:val="22"/>
              </w:rPr>
              <w:t>технічне переоснащення</w:t>
            </w:r>
            <w:r w:rsidRPr="00A70686">
              <w:rPr>
                <w:sz w:val="22"/>
                <w:szCs w:val="22"/>
              </w:rPr>
              <w:t xml:space="preserve"> телекомунікаційних мереж;</w:t>
            </w:r>
          </w:p>
          <w:p w:rsidR="006943A7" w:rsidRPr="00A70686" w:rsidRDefault="006943A7" w:rsidP="00A70686">
            <w:pPr>
              <w:pStyle w:val="ListParagraph"/>
              <w:tabs>
                <w:tab w:val="left" w:pos="993"/>
              </w:tabs>
              <w:spacing w:after="120"/>
              <w:ind w:left="0"/>
              <w:jc w:val="both"/>
              <w:rPr>
                <w:i/>
                <w:iCs/>
                <w:sz w:val="22"/>
                <w:szCs w:val="22"/>
              </w:rPr>
            </w:pPr>
          </w:p>
          <w:p w:rsidR="006943A7" w:rsidRPr="00A70686" w:rsidRDefault="006943A7" w:rsidP="00A70686">
            <w:pPr>
              <w:pStyle w:val="ListParagraph"/>
              <w:tabs>
                <w:tab w:val="left" w:pos="993"/>
              </w:tabs>
              <w:spacing w:after="120"/>
              <w:ind w:left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6943A7" w:rsidRPr="00A70686" w:rsidRDefault="006943A7" w:rsidP="00A70686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6943A7" w:rsidRPr="00A70686" w:rsidRDefault="006943A7" w:rsidP="00A70686">
            <w:pPr>
              <w:ind w:firstLine="7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Використання об’єктів енергетичної інфраструктури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– це доступ і користування</w:t>
            </w:r>
            <w:r w:rsidRPr="008E4C0F">
              <w:rPr>
                <w:b/>
                <w:bCs/>
                <w:color w:val="70AD47"/>
                <w:sz w:val="22"/>
                <w:szCs w:val="22"/>
              </w:rPr>
              <w:t xml:space="preserve"> </w:t>
            </w:r>
            <w:r w:rsidRPr="00A70686">
              <w:rPr>
                <w:sz w:val="22"/>
                <w:szCs w:val="22"/>
              </w:rPr>
              <w:t>елементами інфраструктури об’єктів електроенергетики для розташування, модернізації та експлуатації технічних засобів телекомунікацій замовником на підставі договору.</w:t>
            </w:r>
          </w:p>
          <w:p w:rsidR="006943A7" w:rsidRPr="00A70686" w:rsidRDefault="006943A7" w:rsidP="00A70686">
            <w:pPr>
              <w:ind w:firstLine="7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*</w:t>
            </w:r>
            <w:r w:rsidRPr="00A70686">
              <w:rPr>
                <w:b/>
                <w:bCs/>
                <w:color w:val="FFC000"/>
                <w:sz w:val="22"/>
                <w:szCs w:val="22"/>
              </w:rPr>
              <w:t>виправити по всему тексту Використання</w:t>
            </w:r>
            <w:r w:rsidRPr="00A70686">
              <w:rPr>
                <w:sz w:val="22"/>
                <w:szCs w:val="22"/>
              </w:rPr>
              <w:t>.</w:t>
            </w:r>
          </w:p>
          <w:p w:rsidR="006943A7" w:rsidRPr="00A70686" w:rsidRDefault="006943A7" w:rsidP="00A70686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6943A7" w:rsidRPr="008E4C0F" w:rsidRDefault="006943A7" w:rsidP="00A70686">
            <w:pPr>
              <w:ind w:firstLine="720"/>
              <w:jc w:val="both"/>
              <w:rPr>
                <w:sz w:val="22"/>
                <w:szCs w:val="22"/>
              </w:rPr>
            </w:pPr>
            <w:r w:rsidRPr="00A70686">
              <w:rPr>
                <w:b/>
                <w:bCs/>
                <w:color w:val="70AD47"/>
                <w:sz w:val="22"/>
                <w:szCs w:val="22"/>
              </w:rPr>
              <w:t xml:space="preserve">об’єкт енергетичної інфраструктури для розміщення телекомунікаційних мереж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sym w:font="Symbol" w:char="F02D"/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 xml:space="preserve"> </w:t>
            </w:r>
            <w:r w:rsidRPr="008E4C0F">
              <w:rPr>
                <w:sz w:val="22"/>
                <w:szCs w:val="22"/>
              </w:rPr>
              <w:t>опора повітряних ліній електропередачі, що використовується для розміщення, зокрема, кабельних (телекомунікаційних) мереж;</w:t>
            </w:r>
          </w:p>
          <w:p w:rsidR="006943A7" w:rsidRPr="008E4C0F" w:rsidRDefault="006943A7" w:rsidP="00A70686">
            <w:pPr>
              <w:ind w:firstLine="720"/>
              <w:jc w:val="both"/>
              <w:rPr>
                <w:sz w:val="22"/>
                <w:szCs w:val="22"/>
              </w:rPr>
            </w:pPr>
            <w:r w:rsidRPr="008E4C0F">
              <w:rPr>
                <w:b/>
                <w:bCs/>
                <w:color w:val="70AD47"/>
                <w:sz w:val="22"/>
                <w:szCs w:val="22"/>
              </w:rPr>
              <w:t>о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 xml:space="preserve">пора повітряних ліній електропередачі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sym w:font="Symbol" w:char="F02D"/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 xml:space="preserve"> </w:t>
            </w:r>
            <w:r w:rsidRPr="008E4C0F">
              <w:rPr>
                <w:sz w:val="22"/>
                <w:szCs w:val="22"/>
              </w:rPr>
              <w:t>споруда (конструкція) для утриманні проводів і тросів повітряних лінії електропередачі на заданій відстані від поверхні землі.</w:t>
            </w:r>
          </w:p>
          <w:p w:rsidR="006943A7" w:rsidRPr="00A70686" w:rsidRDefault="006943A7" w:rsidP="00A70686">
            <w:pPr>
              <w:ind w:firstLine="7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розвиток телекомунікаційних мереж – нове будівництво, реконструкція та/або технічне переоснащення телекомунікаційних мереж;</w:t>
            </w:r>
          </w:p>
          <w:p w:rsidR="006943A7" w:rsidRPr="00A70686" w:rsidRDefault="006943A7" w:rsidP="00A70686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70AD47"/>
                <w:sz w:val="22"/>
                <w:szCs w:val="22"/>
                <w:lang w:val="ru-RU"/>
              </w:rPr>
              <w:t>к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 xml:space="preserve">абель зв’язку – </w:t>
            </w:r>
            <w:r w:rsidRPr="008E4C0F">
              <w:rPr>
                <w:sz w:val="22"/>
                <w:szCs w:val="22"/>
              </w:rPr>
              <w:t>це кабелі різних видів, що не є забороненими нормативно-правовими актами України</w:t>
            </w:r>
            <w:r w:rsidRPr="00A70686">
              <w:rPr>
                <w:sz w:val="22"/>
                <w:szCs w:val="22"/>
              </w:rPr>
              <w:t>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3"/>
              </w:numPr>
              <w:tabs>
                <w:tab w:val="left" w:pos="993"/>
              </w:tabs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Основними принципами надання доступу до інфраструктури об’єктів електроенергетики є: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tabs>
                <w:tab w:val="left" w:pos="993"/>
              </w:tabs>
              <w:spacing w:after="120"/>
              <w:ind w:left="927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Відповідность</w:t>
            </w:r>
            <w:bookmarkStart w:id="0" w:name="_GoBack"/>
            <w:bookmarkEnd w:id="0"/>
            <w:r w:rsidRPr="008E4C0F">
              <w:t xml:space="preserve"> </w:t>
            </w:r>
            <w:r w:rsidRPr="00A70686">
              <w:rPr>
                <w:b/>
                <w:bCs/>
                <w:color w:val="70AD47"/>
              </w:rPr>
              <w:t>ціни договору розміру часткової пропорційної компенсації додаткових витрат енергопостачальника</w:t>
            </w:r>
            <w:r w:rsidRPr="008E4C0F">
              <w:rPr>
                <w:b/>
                <w:bCs/>
                <w:color w:val="70AD47"/>
              </w:rPr>
              <w:t xml:space="preserve"> </w:t>
            </w:r>
            <w:r>
              <w:t xml:space="preserve">на обслуговування </w:t>
            </w:r>
            <w:r w:rsidRPr="00A70686">
              <w:rPr>
                <w:b/>
                <w:bCs/>
                <w:color w:val="70AD47"/>
              </w:rPr>
              <w:t>об’єктів енергетичної інфраструктури</w:t>
            </w:r>
            <w:r w:rsidRPr="008E4C0F">
              <w:rPr>
                <w:b/>
                <w:bCs/>
                <w:color w:val="70AD47"/>
              </w:rPr>
              <w:t xml:space="preserve"> </w:t>
            </w:r>
            <w:r>
              <w:t>із сумісно розміщеними засобами телекомунікацій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0686">
              <w:rPr>
                <w:rFonts w:ascii="Times New Roman" w:hAnsi="Times New Roman" w:cs="Times New Roman"/>
                <w:sz w:val="24"/>
                <w:szCs w:val="24"/>
              </w:rPr>
              <w:t xml:space="preserve">1) безперешкодний та недискримінаційний доступ замовників до </w:t>
            </w:r>
            <w:r w:rsidRPr="008E4C0F">
              <w:rPr>
                <w:rFonts w:ascii="Times New Roman" w:hAnsi="Times New Roman" w:cs="Times New Roman"/>
                <w:sz w:val="24"/>
                <w:szCs w:val="24"/>
              </w:rPr>
              <w:t>об’єктів енергетичної інфраструктури</w:t>
            </w:r>
            <w:r w:rsidRPr="00A706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їх використання для потреб телекомунікацій;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86">
              <w:rPr>
                <w:rFonts w:ascii="Times New Roman" w:hAnsi="Times New Roman" w:cs="Times New Roman"/>
                <w:sz w:val="24"/>
                <w:szCs w:val="24"/>
              </w:rPr>
              <w:t xml:space="preserve">2) доступність та відкритість інформації щодо можливості доступу до </w:t>
            </w:r>
            <w:r w:rsidRPr="008E4C0F">
              <w:rPr>
                <w:rFonts w:ascii="Times New Roman" w:hAnsi="Times New Roman" w:cs="Times New Roman"/>
                <w:sz w:val="24"/>
                <w:szCs w:val="24"/>
              </w:rPr>
              <w:t>об’єктів енергетичної інфраструктури</w:t>
            </w:r>
            <w:r w:rsidRPr="00A70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70686">
              <w:rPr>
                <w:color w:val="FFC000"/>
                <w:sz w:val="22"/>
                <w:szCs w:val="22"/>
              </w:rPr>
              <w:t>3) тривалість надання доступу на строк надання телекомунікаційних послуг споживачам;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70686">
              <w:rPr>
                <w:b/>
                <w:bCs/>
                <w:color w:val="70AD47"/>
                <w:sz w:val="22"/>
                <w:szCs w:val="22"/>
              </w:rPr>
              <w:t>3) тривалість надання у використання на строк надання телекомунікаційних послуг споживачам;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4) </w:t>
            </w:r>
            <w:r w:rsidRPr="008E4C0F">
              <w:rPr>
                <w:lang w:eastAsia="en-US"/>
              </w:rPr>
              <w:t>ефективне використання обмежених ресурсів об’єктів енергетичної інфраструктури.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tabs>
                <w:tab w:val="left" w:pos="567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tabs>
                <w:tab w:val="left" w:pos="567"/>
              </w:tabs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5) є </w:t>
            </w:r>
            <w:r w:rsidRPr="00A70686">
              <w:rPr>
                <w:color w:val="70AD47"/>
                <w:sz w:val="22"/>
                <w:szCs w:val="22"/>
              </w:rPr>
              <w:t>компенсація витрат з використання опор ПЛ04/10 кВ.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tabs>
                <w:tab w:val="left" w:pos="567"/>
              </w:tabs>
              <w:spacing w:after="120"/>
              <w:jc w:val="both"/>
              <w:rPr>
                <w:sz w:val="22"/>
                <w:szCs w:val="22"/>
              </w:rPr>
            </w:pPr>
            <w:r w:rsidRPr="008E4C0F">
              <w:rPr>
                <w:sz w:val="22"/>
                <w:szCs w:val="22"/>
              </w:rPr>
              <w:t>є компенсація витрат з використання</w:t>
            </w:r>
            <w:r w:rsidRPr="00A70686">
              <w:rPr>
                <w:color w:val="70AD47"/>
                <w:sz w:val="22"/>
                <w:szCs w:val="22"/>
              </w:rPr>
              <w:t xml:space="preserve"> </w:t>
            </w:r>
            <w:r w:rsidRPr="00A70686">
              <w:rPr>
                <w:sz w:val="22"/>
                <w:szCs w:val="22"/>
              </w:rPr>
              <w:t>об’єктів енергетичної інфраструктури.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color w:val="70AD47"/>
                <w:sz w:val="22"/>
                <w:szCs w:val="22"/>
              </w:rPr>
              <w:t>Оператор/провайдер самостійно обирає проектувальника, підрядника та постачальника обладнання і матеріалів.</w:t>
            </w: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pStyle w:val="Heading3"/>
              <w:spacing w:before="0" w:beforeAutospacing="0" w:after="120" w:afterAutospacing="0"/>
              <w:jc w:val="center"/>
              <w:rPr>
                <w:sz w:val="24"/>
                <w:szCs w:val="24"/>
              </w:rPr>
            </w:pPr>
            <w:r w:rsidRPr="00A70686">
              <w:rPr>
                <w:sz w:val="24"/>
                <w:szCs w:val="24"/>
              </w:rPr>
              <w:t xml:space="preserve">Розділ 2. Порядок використання </w:t>
            </w:r>
            <w:r w:rsidRPr="00A70686">
              <w:t>об’єктів енергетичної інфраструктури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Heading3"/>
              <w:spacing w:before="0" w:beforeAutospacing="0" w:after="120" w:afterAutospacing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70686">
              <w:rPr>
                <w:sz w:val="24"/>
                <w:szCs w:val="24"/>
              </w:rPr>
              <w:t xml:space="preserve">1. </w:t>
            </w:r>
            <w:r w:rsidRPr="00A70686">
              <w:rPr>
                <w:b w:val="0"/>
                <w:bCs w:val="0"/>
                <w:sz w:val="24"/>
                <w:szCs w:val="24"/>
                <w:lang w:eastAsia="en-US"/>
              </w:rPr>
              <w:t>Використання опор повітряних ліній 0,4/10 кВ здійснюється операторами, провайдерами  телекомунікацій на договірній основі із енергопостачаючими організаціями.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Heading3"/>
              <w:spacing w:before="0" w:beforeAutospacing="0" w:after="120" w:afterAutospacing="0"/>
              <w:jc w:val="both"/>
              <w:rPr>
                <w:sz w:val="24"/>
                <w:szCs w:val="24"/>
              </w:rPr>
            </w:pPr>
            <w:r w:rsidRPr="006D1520">
              <w:rPr>
                <w:b w:val="0"/>
                <w:bCs w:val="0"/>
                <w:color w:val="008000"/>
                <w:sz w:val="24"/>
                <w:szCs w:val="24"/>
                <w:lang w:eastAsia="en-US"/>
              </w:rPr>
              <w:t>Використання об’єктів енергетичної інфраструктури</w:t>
            </w:r>
            <w:r w:rsidRPr="00A70686"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здійснюється операторами</w:t>
            </w:r>
            <w:r>
              <w:rPr>
                <w:b w:val="0"/>
                <w:bCs w:val="0"/>
                <w:sz w:val="24"/>
                <w:szCs w:val="24"/>
                <w:lang w:val="ru-RU" w:eastAsia="en-US"/>
              </w:rPr>
              <w:t>/</w:t>
            </w:r>
            <w:r w:rsidRPr="00A70686">
              <w:rPr>
                <w:b w:val="0"/>
                <w:bCs w:val="0"/>
                <w:sz w:val="24"/>
                <w:szCs w:val="24"/>
                <w:lang w:eastAsia="en-US"/>
              </w:rPr>
              <w:t>провайдерами  телекомунікацій на договірній основі із енергопостачальниками.</w:t>
            </w:r>
          </w:p>
          <w:p w:rsidR="006943A7" w:rsidRPr="00A70686" w:rsidRDefault="006943A7" w:rsidP="00A70686">
            <w:pPr>
              <w:pStyle w:val="Heading3"/>
              <w:spacing w:before="0" w:beforeAutospacing="0" w:after="120" w:afterAutospacing="0"/>
              <w:jc w:val="both"/>
              <w:rPr>
                <w:sz w:val="24"/>
                <w:szCs w:val="24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 w:rsidRPr="00A70686">
              <w:rPr>
                <w:sz w:val="22"/>
                <w:szCs w:val="22"/>
              </w:rPr>
              <w:t xml:space="preserve">Для встановлення можливості доступу доінфраструктури об’єктів електроенергетики, оператор, </w:t>
            </w:r>
            <w:r w:rsidRPr="00A70686">
              <w:rPr>
                <w:sz w:val="22"/>
                <w:szCs w:val="22"/>
                <w:lang w:eastAsia="en-US"/>
              </w:rPr>
              <w:t>провайдер телекомунікацій (далі – Заявник)</w:t>
            </w:r>
            <w:r w:rsidRPr="00A70686">
              <w:rPr>
                <w:sz w:val="22"/>
                <w:szCs w:val="22"/>
              </w:rPr>
              <w:t xml:space="preserve">, </w:t>
            </w:r>
            <w:r w:rsidRPr="00A70686">
              <w:rPr>
                <w:sz w:val="22"/>
                <w:szCs w:val="22"/>
                <w:lang w:eastAsia="en-US"/>
              </w:rPr>
              <w:t>звертається до енергопостачаючої організації із заявою, за встановленою цими Правилами формою.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Для встановлення можливості використання інфраструктури об’єктів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енергетичної інфраструктури</w:t>
            </w:r>
            <w:r w:rsidRPr="00A70686">
              <w:rPr>
                <w:sz w:val="22"/>
                <w:szCs w:val="22"/>
              </w:rPr>
              <w:t>, оператор/</w:t>
            </w:r>
            <w:r w:rsidRPr="00A70686">
              <w:rPr>
                <w:sz w:val="22"/>
                <w:szCs w:val="22"/>
                <w:lang w:eastAsia="en-US"/>
              </w:rPr>
              <w:t>провайдер телекомунікацій</w:t>
            </w:r>
            <w:r w:rsidRPr="00A70686">
              <w:rPr>
                <w:sz w:val="22"/>
                <w:szCs w:val="22"/>
              </w:rPr>
              <w:t xml:space="preserve">, </w:t>
            </w:r>
            <w:r w:rsidRPr="00A70686">
              <w:rPr>
                <w:sz w:val="22"/>
                <w:szCs w:val="22"/>
                <w:lang w:eastAsia="en-US"/>
              </w:rPr>
              <w:t>звертається до енергопостачальника організації із заявою.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До заяви додається: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копія свідоцтва про державну реєстрацію юридичної особи та/або виписку (або витяг) з Єдиного державного реєстру юридичних осіб та фізичних осіб-підприємців; 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копія свідоцтва платника ПДВ та/або витягу з реєстру платників ПДВ;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копія свідоцтва платника єдиного податку та/або витягу з реєстру платників єдиного податку;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копія установчого документу – Статуту;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копія документу про призначення керівника (наказ, протокол засідання правління, протокол загальних зборів, тощо);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довіреність на особу-представника;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План-схему розміщення сумісного підвішення кабелів волоконно-оптичних ліній зв’язку у трьох примірниках.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ListParagraph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Всі документи мають бути оформлені та завірені належним чином.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rPr>
          <w:trHeight w:val="1620"/>
        </w:trPr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Після надання заяви разом з необхідним пакетом документів, енергопостачальник перевіряє наявність опор ПЛ, в обраній місцевості, та розглянуть технічну можливість розміщення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E4C0F">
              <w:rPr>
                <w:color w:val="008000"/>
                <w:sz w:val="22"/>
                <w:szCs w:val="22"/>
              </w:rPr>
              <w:t>кабелів зв’язку</w:t>
            </w:r>
            <w:r w:rsidRPr="00A70686">
              <w:rPr>
                <w:sz w:val="22"/>
                <w:szCs w:val="22"/>
              </w:rPr>
              <w:t xml:space="preserve"> на них.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2. За результатами розгляду заяви, енергопостачальник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70686">
              <w:rPr>
                <w:sz w:val="22"/>
                <w:szCs w:val="22"/>
              </w:rPr>
              <w:t>, в строк, що не перевищує 10 робочих з дати надходженн</w:t>
            </w:r>
            <w:r>
              <w:rPr>
                <w:sz w:val="22"/>
                <w:szCs w:val="22"/>
              </w:rPr>
              <w:t xml:space="preserve">я заяви видає </w:t>
            </w:r>
            <w:r>
              <w:rPr>
                <w:sz w:val="22"/>
                <w:szCs w:val="22"/>
                <w:lang w:val="ru-RU"/>
              </w:rPr>
              <w:t>оператору/провайдеру</w:t>
            </w:r>
            <w:r>
              <w:rPr>
                <w:sz w:val="22"/>
                <w:szCs w:val="22"/>
              </w:rPr>
              <w:t xml:space="preserve"> технічн</w:t>
            </w:r>
            <w:r>
              <w:rPr>
                <w:sz w:val="22"/>
                <w:szCs w:val="22"/>
                <w:lang w:val="ru-RU"/>
              </w:rPr>
              <w:t>е</w:t>
            </w:r>
            <w:r w:rsidRPr="00A70686">
              <w:rPr>
                <w:sz w:val="22"/>
                <w:szCs w:val="22"/>
              </w:rPr>
              <w:t xml:space="preserve"> завдання (ТЗ) або письмово повідомляє про відмову з обґрунтуванням її причин.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70686">
              <w:rPr>
                <w:color w:val="FFC000"/>
                <w:sz w:val="22"/>
                <w:szCs w:val="22"/>
              </w:rPr>
              <w:t>4. Енергопостачаюча організація має право відмовити замовнику у доступі до елементу інфраструктури об’єктів енергетики виключно у разі відсутності технічної можливості</w:t>
            </w:r>
            <w:r w:rsidRPr="00A70686">
              <w:rPr>
                <w:strike/>
                <w:sz w:val="22"/>
                <w:szCs w:val="22"/>
              </w:rPr>
              <w:t>,.</w:t>
            </w:r>
            <w:r w:rsidRPr="00A70686">
              <w:rPr>
                <w:i/>
                <w:iCs/>
                <w:color w:val="70AD47"/>
                <w:sz w:val="22"/>
                <w:szCs w:val="22"/>
              </w:rPr>
              <w:t>Потребує ще обговорення</w:t>
            </w:r>
            <w:r w:rsidRPr="00A70686">
              <w:rPr>
                <w:color w:val="70AD47"/>
                <w:sz w:val="22"/>
                <w:szCs w:val="22"/>
              </w:rPr>
              <w:t>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color w:val="70AD47"/>
                <w:sz w:val="22"/>
                <w:szCs w:val="22"/>
              </w:rPr>
            </w:pPr>
            <w:r w:rsidRPr="00A70686">
              <w:rPr>
                <w:color w:val="70AD47"/>
                <w:sz w:val="22"/>
                <w:szCs w:val="22"/>
              </w:rPr>
              <w:t xml:space="preserve">Енергопостачальник має право відмовити </w:t>
            </w:r>
            <w:r w:rsidRPr="00A70686">
              <w:rPr>
                <w:sz w:val="22"/>
                <w:szCs w:val="22"/>
              </w:rPr>
              <w:t>Оператору/провайдеру</w:t>
            </w:r>
            <w:r w:rsidRPr="00A70686">
              <w:rPr>
                <w:color w:val="70AD47"/>
                <w:sz w:val="22"/>
                <w:szCs w:val="22"/>
              </w:rPr>
              <w:t xml:space="preserve"> у використанні об’єктів енергетичної інфраструктури виключно у разі відсутності технічної можливості.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5. </w:t>
            </w:r>
            <w:r w:rsidRPr="00A70686">
              <w:rPr>
                <w:b/>
                <w:bCs/>
                <w:sz w:val="22"/>
                <w:szCs w:val="22"/>
              </w:rPr>
              <w:t>ТУ</w:t>
            </w:r>
            <w:r w:rsidRPr="00A70686">
              <w:rPr>
                <w:sz w:val="22"/>
                <w:szCs w:val="22"/>
              </w:rPr>
              <w:t xml:space="preserve"> є чинними до моменту завершення робіт з розташування технічних засобів телекомунікацій </w:t>
            </w:r>
            <w:r w:rsidRPr="00A70686">
              <w:rPr>
                <w:color w:val="70AD47"/>
                <w:sz w:val="22"/>
                <w:szCs w:val="22"/>
              </w:rPr>
              <w:t xml:space="preserve">але не більше 1 року з моменту видачі ТУ.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color w:val="70AD47"/>
                <w:sz w:val="22"/>
                <w:szCs w:val="22"/>
              </w:rPr>
            </w:pPr>
            <w:r w:rsidRPr="00A70686">
              <w:rPr>
                <w:b/>
                <w:bCs/>
                <w:sz w:val="22"/>
                <w:szCs w:val="22"/>
              </w:rPr>
              <w:t>ТЗ</w:t>
            </w:r>
            <w:r w:rsidRPr="00A70686">
              <w:rPr>
                <w:sz w:val="22"/>
                <w:szCs w:val="22"/>
              </w:rPr>
              <w:t xml:space="preserve"> є чинними до моменту завершення робіт з розташування технічних засобів телекомунікацій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A70686">
              <w:rPr>
                <w:color w:val="70AD47"/>
                <w:sz w:val="22"/>
                <w:szCs w:val="22"/>
              </w:rPr>
              <w:t xml:space="preserve">але не більше 1 року з моменту видачі ТЗ. 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6. Після розроблення та погодження робочого проекту, замовник звертається до енергопостачаючої організації, з пропозицією щодо укладання договору, до якої додаються засвідчені підписом керівника, або уповноваженої ним особи та скріплені печаткою (за наявності) копія робочого проекту.</w:t>
            </w:r>
          </w:p>
        </w:tc>
        <w:tc>
          <w:tcPr>
            <w:tcW w:w="7511" w:type="dxa"/>
          </w:tcPr>
          <w:p w:rsidR="006943A7" w:rsidRPr="00846FDF" w:rsidRDefault="006943A7" w:rsidP="00A70686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A70686">
              <w:rPr>
                <w:sz w:val="22"/>
                <w:szCs w:val="22"/>
              </w:rPr>
              <w:t>Після розроблення та погодження робочого проекту, Оператор/провайдер звертається до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70686">
              <w:rPr>
                <w:color w:val="70AD47"/>
                <w:sz w:val="22"/>
                <w:szCs w:val="22"/>
              </w:rPr>
              <w:t>Енергопостачальник</w:t>
            </w:r>
            <w:r>
              <w:rPr>
                <w:color w:val="70AD47"/>
                <w:sz w:val="22"/>
                <w:szCs w:val="22"/>
                <w:lang w:val="ru-RU"/>
              </w:rPr>
              <w:t xml:space="preserve">а </w:t>
            </w:r>
            <w:r w:rsidRPr="00A70686">
              <w:rPr>
                <w:sz w:val="22"/>
                <w:szCs w:val="22"/>
              </w:rPr>
              <w:t>, з пропозицією щодо укладання договору, до якої додається робочий проект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На основі погодженого Проекту, фахівці енергопостачаючої організації проводять техніко-економічні розрахунки та підготують проект договору про </w:t>
            </w:r>
            <w:r w:rsidRPr="00A70686">
              <w:rPr>
                <w:color w:val="70AD47"/>
                <w:sz w:val="22"/>
                <w:szCs w:val="22"/>
              </w:rPr>
              <w:t>компенсацію витрат з використання опор ПЛ 0,4/10 кВ</w:t>
            </w:r>
            <w:r w:rsidRPr="00A70686">
              <w:rPr>
                <w:sz w:val="22"/>
                <w:szCs w:val="22"/>
              </w:rPr>
              <w:t>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На основі погодженого Робочого Проекту, фахівці енергопостачальника проводять в термін до 10ти робочих днів техніко-економічні розрахунки та готують проект договору про використання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При</w:t>
            </w:r>
            <w:hyperlink r:id="rId5" w:history="1">
              <w:r w:rsidRPr="00A70686">
                <w:rPr>
                  <w:sz w:val="22"/>
                  <w:szCs w:val="22"/>
                </w:rPr>
                <w:t>мірний</w:t>
              </w:r>
            </w:hyperlink>
            <w:r w:rsidRPr="00A70686">
              <w:rPr>
                <w:sz w:val="22"/>
                <w:szCs w:val="22"/>
              </w:rPr>
              <w:t xml:space="preserve"> договір про</w:t>
            </w:r>
            <w:r w:rsidRPr="00A70686">
              <w:rPr>
                <w:color w:val="70AD47"/>
                <w:sz w:val="22"/>
                <w:szCs w:val="22"/>
              </w:rPr>
              <w:t>компенсацію витрат з використання опор ПЛ 0,4/10 кВ</w:t>
            </w:r>
            <w:r w:rsidRPr="00A70686">
              <w:rPr>
                <w:sz w:val="22"/>
                <w:szCs w:val="22"/>
              </w:rPr>
              <w:t xml:space="preserve"> затверджується цими Правилами.</w:t>
            </w:r>
          </w:p>
        </w:tc>
        <w:tc>
          <w:tcPr>
            <w:tcW w:w="7511" w:type="dxa"/>
          </w:tcPr>
          <w:p w:rsidR="006943A7" w:rsidRPr="004F077E" w:rsidRDefault="006943A7" w:rsidP="00A70686">
            <w:pPr>
              <w:spacing w:after="12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4F077E">
              <w:rPr>
                <w:b/>
                <w:bCs/>
                <w:color w:val="FF0000"/>
                <w:sz w:val="22"/>
                <w:szCs w:val="22"/>
              </w:rPr>
              <w:t>видалити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color w:val="FFC000"/>
                <w:sz w:val="22"/>
                <w:szCs w:val="22"/>
              </w:rPr>
              <w:t xml:space="preserve">Якщо енергопостачаюча організація погодила проект, ТУ то повинна у строк до місяца заключити договір про компенсацію витрат з використання опор ПЛ 0,4/10 кВ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color w:val="FFC000"/>
                <w:sz w:val="22"/>
                <w:szCs w:val="22"/>
              </w:rPr>
              <w:t xml:space="preserve">Якщо </w:t>
            </w:r>
            <w:r w:rsidRPr="00A70686">
              <w:rPr>
                <w:sz w:val="22"/>
                <w:szCs w:val="22"/>
              </w:rPr>
              <w:t>енергопостачальник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70686">
              <w:rPr>
                <w:color w:val="FFC000"/>
                <w:sz w:val="22"/>
                <w:szCs w:val="22"/>
              </w:rPr>
              <w:t xml:space="preserve">погодив Робочий проект  то  повинен у строк до </w:t>
            </w:r>
            <w:r w:rsidRPr="00A70686">
              <w:rPr>
                <w:sz w:val="22"/>
                <w:szCs w:val="22"/>
              </w:rPr>
              <w:t>до 15ти робочих днів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70686">
              <w:rPr>
                <w:color w:val="FFC000"/>
                <w:sz w:val="22"/>
                <w:szCs w:val="22"/>
              </w:rPr>
              <w:t xml:space="preserve">укласти договір про </w:t>
            </w:r>
            <w:r w:rsidRPr="00A70686">
              <w:rPr>
                <w:sz w:val="22"/>
                <w:szCs w:val="22"/>
              </w:rPr>
              <w:t xml:space="preserve"> використання об’єктів енергетичної інфраструктури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A70686">
              <w:rPr>
                <w:sz w:val="22"/>
                <w:szCs w:val="22"/>
              </w:rPr>
              <w:t>Необгрунтована відмова в укладанні договору не допускається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7. Істотними умовами договору є: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окремий, конкретно визначений елемент(и) інфраструктури об’єктів енергетики, що використовується замовником на підставі</w:t>
            </w:r>
            <w:r w:rsidRPr="00A70686">
              <w:rPr>
                <w:strike/>
                <w:sz w:val="22"/>
                <w:szCs w:val="22"/>
              </w:rPr>
              <w:t>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Конкретно визначений елемент(и) інфраструктури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z w:val="22"/>
                <w:szCs w:val="22"/>
              </w:rPr>
              <w:t>, що використовується оператором/провайдером.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конкретно визначені технічні засоби телекомунікацій, розташовані на окремому, конкретно визначному елементі(ах) інфраструктури об’єктів енергетики, що використовується замовником на підставі договору</w:t>
            </w:r>
            <w:r w:rsidRPr="00A70686">
              <w:rPr>
                <w:strike/>
                <w:sz w:val="22"/>
                <w:szCs w:val="22"/>
              </w:rPr>
              <w:t>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конкретно визначені технічні засоби телекомунікацій оператора провайдера.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Ціна договору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color w:val="FFC000"/>
                <w:sz w:val="22"/>
                <w:szCs w:val="22"/>
              </w:rPr>
              <w:t xml:space="preserve">Процедури???(порядок) </w:t>
            </w:r>
            <w:r w:rsidRPr="00A70686">
              <w:rPr>
                <w:sz w:val="22"/>
                <w:szCs w:val="22"/>
              </w:rPr>
              <w:t>доступу до елементу інфраструктури об’єктів енергетики.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b/>
                <w:bCs/>
                <w:color w:val="70AD47"/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Права та обов’язки сторін при використанні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</w:p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color w:val="FFC000"/>
                <w:sz w:val="22"/>
                <w:szCs w:val="22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Строк договору. Автоматична пролонгація договору.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9. </w:t>
            </w:r>
            <w:r w:rsidRPr="00A70686">
              <w:rPr>
                <w:color w:val="FFC000"/>
                <w:sz w:val="22"/>
                <w:szCs w:val="22"/>
              </w:rPr>
              <w:t>У разі зміни енергопостачаючої організації та/або її власника, не є підставою для розірвання, зміни договору або стягнення будь-яких додаткових оплат.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Реорганізація</w:t>
            </w:r>
            <w:r w:rsidRPr="00DE120D">
              <w:rPr>
                <w:sz w:val="22"/>
                <w:szCs w:val="22"/>
              </w:rPr>
              <w:t xml:space="preserve"> </w:t>
            </w:r>
            <w:r w:rsidRPr="00A70686">
              <w:rPr>
                <w:sz w:val="22"/>
                <w:szCs w:val="22"/>
              </w:rPr>
              <w:t>чи зміна енергопостачальниката</w:t>
            </w:r>
            <w:r w:rsidRPr="00DE120D">
              <w:rPr>
                <w:sz w:val="22"/>
                <w:szCs w:val="22"/>
              </w:rPr>
              <w:t xml:space="preserve"> </w:t>
            </w:r>
            <w:r w:rsidRPr="00A70686">
              <w:rPr>
                <w:sz w:val="22"/>
                <w:szCs w:val="22"/>
              </w:rPr>
              <w:t xml:space="preserve">/або власника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DE120D">
              <w:rPr>
                <w:b/>
                <w:bCs/>
                <w:color w:val="70AD47"/>
                <w:sz w:val="22"/>
                <w:szCs w:val="22"/>
              </w:rPr>
              <w:t xml:space="preserve"> </w:t>
            </w:r>
            <w:r w:rsidRPr="00A70686">
              <w:rPr>
                <w:sz w:val="22"/>
                <w:szCs w:val="22"/>
              </w:rPr>
              <w:t>не є підставою для зміни умов чи розірвання договору на використанняоб’єктів енергетичної інфраструктури</w:t>
            </w:r>
          </w:p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10. Відмова замовнику у доступі до елементу інфраструктури об’єктів енергетики можлива виключно у випадках порушень істотних умов договору і не є розірванням договору.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Відмова замовнику у доступі до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z w:val="22"/>
                <w:szCs w:val="22"/>
              </w:rPr>
              <w:t xml:space="preserve"> можлива виключно у випадках порушень істотних умов договору.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Необгрунтована відмова в укладанні договору не допускається.</w:t>
            </w:r>
          </w:p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4F077E">
              <w:rPr>
                <w:b/>
                <w:bCs/>
                <w:color w:val="FF0000"/>
                <w:sz w:val="22"/>
                <w:szCs w:val="22"/>
              </w:rPr>
              <w:t>Видилити.</w:t>
            </w:r>
            <w:r w:rsidRPr="00A70686">
              <w:rPr>
                <w:sz w:val="22"/>
                <w:szCs w:val="22"/>
              </w:rPr>
              <w:t xml:space="preserve"> Перенести в 6 пункт</w:t>
            </w:r>
          </w:p>
        </w:tc>
      </w:tr>
      <w:tr w:rsidR="006943A7" w:rsidRPr="007E21FB">
        <w:tc>
          <w:tcPr>
            <w:tcW w:w="7510" w:type="dxa"/>
          </w:tcPr>
          <w:p w:rsidR="006943A7" w:rsidRDefault="006943A7" w:rsidP="00A70686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</w:p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Сторони зобов’язуються не включати у договір за їх участі умови, які суперечать цим правилам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pStyle w:val="71"/>
              <w:shd w:val="clear" w:color="auto" w:fill="auto"/>
              <w:spacing w:after="120" w:line="240" w:lineRule="auto"/>
              <w:rPr>
                <w:sz w:val="24"/>
                <w:szCs w:val="24"/>
                <w:lang w:eastAsia="uk-UA"/>
              </w:rPr>
            </w:pPr>
            <w:r w:rsidRPr="00A70686">
              <w:rPr>
                <w:sz w:val="24"/>
                <w:szCs w:val="24"/>
                <w:lang w:eastAsia="uk-UA"/>
              </w:rPr>
              <w:t>Розділ 3. Права та обов’язки сторін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b/>
                <w:bCs/>
                <w:sz w:val="22"/>
                <w:szCs w:val="22"/>
              </w:rPr>
              <w:t>1. Енергопостачальні організації мають право: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Енергопостачальник має право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1) надавати доступ до елементів інфраструктури об’єктів електроенергетики на підставі укладеного договору;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1) надавати доступ до до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2) відмовляти замовникам у наданні доступу до елементів інфраструктури об’єктів електроенергетики в порядку та з підстав, визначених цими Правилами;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відмовляти оператором/провайдерам у наданні</w:t>
            </w:r>
            <w:r>
              <w:rPr>
                <w:sz w:val="22"/>
                <w:szCs w:val="22"/>
                <w:lang w:val="ru-RU"/>
              </w:rPr>
              <w:t xml:space="preserve"> доступу </w:t>
            </w:r>
            <w:r w:rsidRPr="00A70686">
              <w:rPr>
                <w:sz w:val="22"/>
                <w:szCs w:val="22"/>
              </w:rPr>
              <w:t xml:space="preserve">до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>
              <w:rPr>
                <w:b/>
                <w:bCs/>
                <w:color w:val="70AD47"/>
                <w:sz w:val="22"/>
                <w:szCs w:val="22"/>
                <w:lang w:val="ru-RU"/>
              </w:rPr>
              <w:t xml:space="preserve"> </w:t>
            </w:r>
            <w:r w:rsidRPr="00A70686">
              <w:rPr>
                <w:sz w:val="22"/>
                <w:szCs w:val="22"/>
              </w:rPr>
              <w:t>в порядку та з підстав, визначених цими Правилами;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3) здійснювати контроль за виконанням замовником робіт при виконанні умов договору;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4) вимагати від замовниківусунення порушень, виявлених за результатами контролю за виконанням замовником робіт при виконанні умов договору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вимагати від операторів/провайдерів усунення порушень, виявлених за результатами контролю за виконанням замовником робіт при виконанні умов договору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5) відмовити замовнику у доступі за укладеним договором виключно у випадках зафіксованих сторонами порушень істотних умов договору.</w:t>
            </w:r>
          </w:p>
        </w:tc>
        <w:tc>
          <w:tcPr>
            <w:tcW w:w="7511" w:type="dxa"/>
          </w:tcPr>
          <w:p w:rsidR="006943A7" w:rsidRPr="004F077E" w:rsidRDefault="006943A7" w:rsidP="00A70686">
            <w:pPr>
              <w:spacing w:after="12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4F077E">
              <w:rPr>
                <w:b/>
                <w:bCs/>
                <w:color w:val="FF0000"/>
                <w:sz w:val="22"/>
                <w:szCs w:val="22"/>
              </w:rPr>
              <w:t>видалити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A70686">
              <w:rPr>
                <w:b/>
                <w:bCs/>
                <w:sz w:val="22"/>
                <w:szCs w:val="22"/>
              </w:rPr>
              <w:t>2. Енергопостачальні організації зобов’язані: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1) надавати безперешкодний доступ за зверненням замовників відповідно до умов цих правил;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надавати безперешкодне використання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z w:val="22"/>
                <w:szCs w:val="22"/>
              </w:rPr>
              <w:t xml:space="preserve"> за зверненням операторам/ провайдерам відповідно до умов цих правил;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2) забезпечувати недискримінаційний доступ замовників з метою створення рівних умов використання інфраструктури об’єктів електроенергетики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2) забезпечувати недискримінаційне</w:t>
            </w:r>
            <w:r>
              <w:rPr>
                <w:sz w:val="22"/>
                <w:szCs w:val="22"/>
              </w:rPr>
              <w:t xml:space="preserve"> </w:t>
            </w:r>
            <w:r w:rsidRPr="00A70686">
              <w:rPr>
                <w:sz w:val="22"/>
                <w:szCs w:val="22"/>
              </w:rPr>
              <w:t>використання операторами/провайдерами</w:t>
            </w:r>
            <w:r>
              <w:rPr>
                <w:sz w:val="22"/>
                <w:szCs w:val="22"/>
              </w:rPr>
              <w:t xml:space="preserve">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z w:val="22"/>
                <w:szCs w:val="22"/>
              </w:rPr>
              <w:t xml:space="preserve"> з метою створення рівних умов.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 xml:space="preserve"> 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3) надавати можливість попереднього огляду та отримання необхідної інформації на елемент інфраструктури об’єктів електроенергетики, для розміщення технічних засобів телекомунікацій перед укладанням договору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надавати можливість попереднього огляду та отримання необхідної інформації стосовно</w:t>
            </w:r>
            <w:r>
              <w:rPr>
                <w:sz w:val="22"/>
                <w:szCs w:val="22"/>
              </w:rPr>
              <w:t xml:space="preserve">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z w:val="22"/>
                <w:szCs w:val="22"/>
              </w:rPr>
              <w:t>, для розміщення технічних засобів телекомунікацій перед укладанням договору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4) забезпечувати уповноваженим особам замовника в порядку, встановленому законодавством, безперешкодний доступ до всіх елементів інфраструктури об’єктів електроенергетики на підставі договору, за умови збереження цілісності та працездатності всіх технічних засобів телекомунікацій інших замовників;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забезпечувати уповноваженим особам оператора/провайдера в порядку, встановленому законодавством, безперешкодний доступ до всіх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z w:val="22"/>
                <w:szCs w:val="22"/>
              </w:rPr>
              <w:t xml:space="preserve"> на підставі договору, за умови збереження цілісності та працездатності всіх технічних засобів телекомунікацій інших замовників;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5) забезпечувати можливість електроживлення технічних засобів телекомунікацій замовників в порядку, встановленому законодавством;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забезпечувати можливість електроживлення технічних засобів телекомунікацій</w:t>
            </w:r>
            <w:r>
              <w:rPr>
                <w:sz w:val="22"/>
                <w:szCs w:val="22"/>
              </w:rPr>
              <w:t xml:space="preserve"> </w:t>
            </w:r>
            <w:r w:rsidRPr="00A70686">
              <w:rPr>
                <w:sz w:val="22"/>
                <w:szCs w:val="22"/>
              </w:rPr>
              <w:t>оператора/провайдера в порядку, встановленому законодавством;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6) здійснювати за власний рахунок поточний та капітальний ремонт елементів інфраструктури об’єктів електроенергетики, яким користується замовник на підставі договору, та не допускати замовлення та виконання будь-яких додаткових робіт та послуг щодо утримання таких елементів інфраструктури об’єктів електроенергетики за рахунок замовника;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здійснювати за власний рахунок поточний та капітальний ремонт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z w:val="22"/>
                <w:szCs w:val="22"/>
              </w:rPr>
              <w:t>, яким користується оператор/провайдер на підставі договору, та не допускати замовлення та виконання будь-яких додаткових робіт та послуг щодо утримання таких елементів інфраструктури об’єктів електроенергетики за рахунок замовника;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7) відновити доступ до елементу інфраструктури об’єктів за укладеним договором, після усунення </w:t>
            </w:r>
            <w:r>
              <w:rPr>
                <w:sz w:val="22"/>
                <w:szCs w:val="22"/>
              </w:rPr>
              <w:t>оператором/провайдером</w:t>
            </w:r>
            <w:r w:rsidRPr="00A70686">
              <w:rPr>
                <w:sz w:val="22"/>
                <w:szCs w:val="22"/>
              </w:rPr>
              <w:t xml:space="preserve"> порушень істотних умов договору.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Попереджати Оператора/провайдера про плановий ремонт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 за 30 робочих днів.</w:t>
            </w: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0686">
              <w:rPr>
                <w:b/>
                <w:bCs/>
                <w:sz w:val="22"/>
                <w:szCs w:val="22"/>
                <w:lang w:val="uk-UA"/>
              </w:rPr>
              <w:t>3. Права операторів, провайдерів.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A70686">
              <w:rPr>
                <w:sz w:val="22"/>
                <w:szCs w:val="22"/>
                <w:lang w:val="uk-UA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>Оператор/провайдер</w:t>
            </w:r>
            <w:r w:rsidRPr="00A70686">
              <w:rPr>
                <w:sz w:val="22"/>
                <w:szCs w:val="22"/>
                <w:lang w:val="uk-UA"/>
              </w:rPr>
              <w:t>, перед укладанням договору, мають право на попередній огляд та отримання необхідної інформації про елемент</w:t>
            </w:r>
            <w:r w:rsidRPr="00A70686">
              <w:rPr>
                <w:sz w:val="22"/>
                <w:szCs w:val="22"/>
                <w:highlight w:val="yellow"/>
                <w:lang w:val="uk-UA"/>
              </w:rPr>
              <w:t>и</w:t>
            </w:r>
            <w:r w:rsidRPr="00A70686">
              <w:rPr>
                <w:sz w:val="22"/>
                <w:szCs w:val="22"/>
                <w:lang w:val="uk-UA"/>
              </w:rPr>
              <w:t xml:space="preserve">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trike/>
                <w:sz w:val="22"/>
                <w:szCs w:val="22"/>
                <w:lang w:val="uk-UA"/>
              </w:rPr>
              <w:t>,</w:t>
            </w:r>
            <w:r w:rsidRPr="00A70686">
              <w:rPr>
                <w:sz w:val="22"/>
                <w:szCs w:val="22"/>
                <w:lang w:val="uk-UA"/>
              </w:rPr>
              <w:t xml:space="preserve"> для розміщення технічних засобів телекомунікацій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A70686">
              <w:rPr>
                <w:sz w:val="22"/>
                <w:szCs w:val="22"/>
                <w:lang w:val="uk-UA"/>
              </w:rPr>
              <w:t xml:space="preserve">2. Після укладання договору </w:t>
            </w:r>
            <w:r>
              <w:rPr>
                <w:sz w:val="22"/>
                <w:szCs w:val="22"/>
                <w:lang w:val="uk-UA"/>
              </w:rPr>
              <w:t>Оператори/провайдери</w:t>
            </w:r>
            <w:r w:rsidRPr="00A70686">
              <w:rPr>
                <w:sz w:val="22"/>
                <w:szCs w:val="22"/>
                <w:lang w:val="uk-UA"/>
              </w:rPr>
              <w:t xml:space="preserve"> мають право на: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A70686">
              <w:rPr>
                <w:sz w:val="22"/>
                <w:szCs w:val="22"/>
                <w:lang w:val="uk-UA"/>
              </w:rPr>
              <w:t xml:space="preserve">1) безперешкодний доступ до всіх елементів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z w:val="22"/>
                <w:szCs w:val="22"/>
                <w:lang w:val="uk-UA"/>
              </w:rPr>
              <w:t xml:space="preserve"> відповідно до умов договору;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A70686">
              <w:rPr>
                <w:sz w:val="22"/>
                <w:szCs w:val="22"/>
                <w:lang w:val="uk-UA"/>
              </w:rPr>
              <w:t xml:space="preserve">2) проведення робіт відповідно до умов договору на елементах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</w:t>
            </w:r>
            <w:r>
              <w:rPr>
                <w:b/>
                <w:bCs/>
                <w:color w:val="70AD47"/>
                <w:sz w:val="22"/>
                <w:szCs w:val="22"/>
              </w:rPr>
              <w:t>єкті</w:t>
            </w:r>
            <w:r>
              <w:rPr>
                <w:b/>
                <w:bCs/>
                <w:color w:val="70AD47"/>
                <w:sz w:val="22"/>
                <w:szCs w:val="22"/>
                <w:lang w:val="uk-UA"/>
              </w:rPr>
              <w:t>в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 xml:space="preserve"> енергетичної інфраструктури</w:t>
            </w:r>
            <w:r w:rsidRPr="00A70686">
              <w:rPr>
                <w:sz w:val="22"/>
                <w:szCs w:val="22"/>
                <w:lang w:val="uk-UA"/>
              </w:rPr>
              <w:t>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A70686">
              <w:rPr>
                <w:sz w:val="22"/>
                <w:szCs w:val="22"/>
                <w:lang w:val="uk-UA"/>
              </w:rPr>
              <w:t>3) Отримання електроживлення технічних засобів телекомунікаційвід джерел електроживлення</w:t>
            </w:r>
            <w:r w:rsidRPr="00A70686">
              <w:rPr>
                <w:sz w:val="22"/>
                <w:szCs w:val="22"/>
              </w:rPr>
              <w:t>в порядку, встановленому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70686">
              <w:rPr>
                <w:sz w:val="22"/>
                <w:szCs w:val="22"/>
              </w:rPr>
              <w:t>законодавством;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A70686">
              <w:rPr>
                <w:sz w:val="22"/>
                <w:szCs w:val="22"/>
                <w:lang w:val="uk-UA"/>
              </w:rPr>
              <w:t>4) відшкодування збитків, заподіяних замовнику внаслідок невиконання чи неналежного виконання власником умов договору.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70686">
              <w:rPr>
                <w:b/>
                <w:bCs/>
                <w:sz w:val="22"/>
                <w:szCs w:val="22"/>
                <w:lang w:val="uk-UA"/>
              </w:rPr>
              <w:t>4. Замовники зобов’язані: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A70686">
              <w:rPr>
                <w:sz w:val="22"/>
                <w:szCs w:val="22"/>
                <w:lang w:val="uk-UA"/>
              </w:rPr>
              <w:t xml:space="preserve">1) здійснювати заходи з доступу до елементів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sz w:val="22"/>
                <w:szCs w:val="22"/>
                <w:lang w:val="uk-UA"/>
              </w:rPr>
              <w:t xml:space="preserve"> згідно до умов договору;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A70686">
              <w:rPr>
                <w:sz w:val="22"/>
                <w:szCs w:val="22"/>
                <w:lang w:val="uk-UA"/>
              </w:rPr>
              <w:t>2) розташовувати технічні засоби телекомунікацій відповідно до проектної документації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  <w:r w:rsidRPr="00A70686">
              <w:rPr>
                <w:sz w:val="22"/>
                <w:szCs w:val="22"/>
                <w:lang w:val="uk-UA"/>
              </w:rPr>
              <w:t xml:space="preserve">3) відшкодовувати збитки </w:t>
            </w:r>
            <w:r w:rsidRPr="00496711">
              <w:rPr>
                <w:color w:val="008000"/>
                <w:sz w:val="22"/>
                <w:szCs w:val="22"/>
                <w:lang w:val="uk-UA"/>
              </w:rPr>
              <w:t>Енергопостачальнику</w:t>
            </w:r>
            <w:r w:rsidRPr="00A70686">
              <w:rPr>
                <w:sz w:val="22"/>
                <w:szCs w:val="22"/>
                <w:lang w:val="uk-UA"/>
              </w:rPr>
              <w:t xml:space="preserve"> або третім особам, заподіяні унаслідок невиконання чи неналежного виконання робіт з вини замовника, пов’язаних з розташуванням технічних засобів телекомунікацій, в порядку та межах, передбачених договором;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2"/>
              <w:tabs>
                <w:tab w:val="left" w:pos="597"/>
                <w:tab w:val="num" w:pos="792"/>
              </w:tabs>
              <w:spacing w:line="240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4) розміщувати на технічних засобах телекомунікацій інформацію про </w:t>
            </w:r>
            <w:r w:rsidRPr="00496711">
              <w:rPr>
                <w:color w:val="339966"/>
                <w:sz w:val="22"/>
                <w:szCs w:val="22"/>
              </w:rPr>
              <w:t>провайдера/оператора</w:t>
            </w:r>
            <w:r w:rsidRPr="00A70686">
              <w:rPr>
                <w:sz w:val="22"/>
                <w:szCs w:val="22"/>
              </w:rPr>
              <w:t>, зокрема: найменування, поштову, електронну адресу, номери телефонів тощо.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A70686">
              <w:rPr>
                <w:b/>
                <w:bCs/>
                <w:sz w:val="22"/>
                <w:szCs w:val="22"/>
              </w:rPr>
              <w:t xml:space="preserve">Розділ 4. Принципи формування вартості </w:t>
            </w:r>
            <w:r w:rsidRPr="00A70686">
              <w:rPr>
                <w:b/>
                <w:bCs/>
                <w:strike/>
                <w:sz w:val="22"/>
                <w:szCs w:val="22"/>
              </w:rPr>
              <w:t>послугсумісного використання опор повітряних ліній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1. Оплата за доступ до елементів інфраструктури об’єктів електроенергетики для розташування технічних засобів телекомунікацій базується на принципах: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color w:val="FFC000"/>
                <w:sz w:val="22"/>
                <w:szCs w:val="22"/>
              </w:rPr>
              <w:t>Оплата за використання</w:t>
            </w:r>
            <w:r>
              <w:rPr>
                <w:color w:val="FFC000"/>
                <w:sz w:val="22"/>
                <w:szCs w:val="22"/>
              </w:rPr>
              <w:t xml:space="preserve"> </w:t>
            </w:r>
            <w:r w:rsidRPr="00A70686">
              <w:rPr>
                <w:b/>
                <w:bCs/>
                <w:color w:val="FFC000"/>
                <w:sz w:val="22"/>
                <w:szCs w:val="22"/>
              </w:rPr>
              <w:t>об’єктів енергетичної інфраструктури</w:t>
            </w:r>
            <w:r w:rsidRPr="00A70686">
              <w:rPr>
                <w:color w:val="FFC000"/>
                <w:sz w:val="22"/>
                <w:szCs w:val="22"/>
              </w:rPr>
              <w:t xml:space="preserve"> для розташування технічних засобів телекомунікацій базується на принципах: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1) рівності правових гарантій для замовників;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 xml:space="preserve">1) відповідності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ціни договору розміру часткової пропорційної компенсації додаткових витрат енергопостачальника</w:t>
            </w:r>
            <w:r>
              <w:rPr>
                <w:b/>
                <w:bCs/>
                <w:color w:val="70AD47"/>
                <w:sz w:val="22"/>
                <w:szCs w:val="22"/>
              </w:rPr>
              <w:t xml:space="preserve"> </w:t>
            </w:r>
            <w:r w:rsidRPr="00A70686">
              <w:rPr>
                <w:sz w:val="22"/>
                <w:szCs w:val="22"/>
              </w:rPr>
              <w:t xml:space="preserve">на обслуговування </w:t>
            </w:r>
            <w:r w:rsidRPr="00A70686">
              <w:rPr>
                <w:b/>
                <w:bCs/>
                <w:color w:val="70AD47"/>
                <w:sz w:val="22"/>
                <w:szCs w:val="22"/>
              </w:rPr>
              <w:t>об’єктів енергетичної інфраструктури</w:t>
            </w:r>
            <w:r>
              <w:rPr>
                <w:b/>
                <w:bCs/>
                <w:color w:val="70AD47"/>
                <w:sz w:val="22"/>
                <w:szCs w:val="22"/>
              </w:rPr>
              <w:t xml:space="preserve"> </w:t>
            </w:r>
            <w:r w:rsidRPr="00A70686">
              <w:rPr>
                <w:sz w:val="22"/>
                <w:szCs w:val="22"/>
              </w:rPr>
              <w:t>із сумісно розміщеними засобами телекомунікацій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2) у відповідності розміру оплати, розміру додаткових витрат енергокомпаній під час обслуговування інфраструктури об’єктів із сумісно розміщеними засобами телекомунікацій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2) рівності правових гарантій та умов для операторам/провайдерам;</w:t>
            </w:r>
          </w:p>
          <w:p w:rsidR="006943A7" w:rsidRPr="00496711" w:rsidRDefault="006943A7" w:rsidP="00A70686">
            <w:pPr>
              <w:spacing w:after="120"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496711">
              <w:rPr>
                <w:b/>
                <w:bCs/>
                <w:color w:val="0000FF"/>
                <w:sz w:val="22"/>
                <w:szCs w:val="22"/>
              </w:rPr>
              <w:t>* При рівних умовах – однакова ціна!! ( сформул.)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3) відкритості, доступності та прозорості структури розміру плати</w:t>
            </w:r>
            <w:r w:rsidRPr="00A70686">
              <w:rPr>
                <w:strike/>
                <w:sz w:val="22"/>
                <w:szCs w:val="22"/>
              </w:rPr>
              <w:t>;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Прозорості механізму ціноутворення.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spacing w:after="120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4) відповідальності замовників та власників за недотримання вимог порядків та методик, передбачених цими Правилами.</w:t>
            </w:r>
          </w:p>
        </w:tc>
        <w:tc>
          <w:tcPr>
            <w:tcW w:w="7511" w:type="dxa"/>
          </w:tcPr>
          <w:p w:rsidR="006943A7" w:rsidRPr="00496711" w:rsidRDefault="006943A7" w:rsidP="00A70686">
            <w:pPr>
              <w:spacing w:after="12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pStyle w:val="90"/>
              <w:keepNext/>
              <w:keepLines/>
              <w:shd w:val="clear" w:color="auto" w:fill="auto"/>
              <w:tabs>
                <w:tab w:val="left" w:pos="278"/>
              </w:tabs>
              <w:spacing w:before="0" w:after="179" w:line="26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uk-UA"/>
              </w:rPr>
            </w:pPr>
            <w:bookmarkStart w:id="1" w:name="bookmark17"/>
            <w:r w:rsidRPr="00A7068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uk-UA"/>
              </w:rPr>
              <w:t>Розділ 5. Ставлення Учасника до своїх працівників</w:t>
            </w:r>
            <w:bookmarkEnd w:id="1"/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Учасники розуміють, що висококваліфікований і високоморальний персонал є однією з необхідних гарантій ефективної роботи Учасника і виконання ним принципів і вимог Правил.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"/>
              <w:jc w:val="both"/>
              <w:rPr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Учасники постійно піклуються про підвищення кваліфікації своїх працівників до рівня, який відповідає ринковим вимогам.</w:t>
            </w:r>
            <w:r w:rsidRPr="00496711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"/>
              <w:jc w:val="both"/>
              <w:rPr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15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150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Учасники дотримуються щодо своїх робітників правил коректної і ввічливої поведінки і, у відповідності з принципом індивідуального підходу, встановлюють справедливу винагороду за їх працю.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"/>
              <w:jc w:val="both"/>
              <w:rPr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</w:rPr>
              <w:t>Учасники вимагають від своїх працівників висококваліфікованої праці і відповідального відношення, ніколи не дають їм вказівок, які б могли у роботі з контрагентами навмисне зашкодити останнім, особливо внаслідок надання неправдивої, неповної і перекрученої інформації.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"/>
              <w:jc w:val="both"/>
              <w:rPr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pStyle w:val="BodyText"/>
              <w:ind w:firstLine="700"/>
              <w:jc w:val="center"/>
              <w:rPr>
                <w:b/>
                <w:bCs/>
                <w:sz w:val="22"/>
                <w:szCs w:val="22"/>
              </w:rPr>
            </w:pPr>
            <w:bookmarkStart w:id="2" w:name="bookmark18"/>
            <w:r w:rsidRPr="00A70686">
              <w:rPr>
                <w:b/>
                <w:bCs/>
                <w:sz w:val="22"/>
                <w:szCs w:val="22"/>
              </w:rPr>
              <w:t xml:space="preserve">Розділ 6. </w:t>
            </w:r>
            <w:bookmarkEnd w:id="2"/>
            <w:r w:rsidRPr="00A70686">
              <w:rPr>
                <w:rStyle w:val="BodyTextChar"/>
                <w:b/>
                <w:bCs/>
                <w:color w:val="000000"/>
                <w:lang w:val="uk-UA"/>
              </w:rPr>
              <w:t>Досудове врегулювання спорів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BodyText"/>
              <w:ind w:firstLine="700"/>
              <w:jc w:val="both"/>
              <w:rPr>
                <w:rStyle w:val="BodyTextChar"/>
                <w:color w:val="000000"/>
                <w:lang w:val="uk-UA"/>
              </w:rPr>
            </w:pPr>
            <w:r w:rsidRPr="007E21FB">
              <w:rPr>
                <w:rStyle w:val="BodyTextChar"/>
                <w:lang w:val="uk-UA"/>
              </w:rPr>
              <w:t>Всі Сторони розуміють, що найефективнішою формою контролю є самоконтроль. Тому вони слідкують за тим, щоб не допускати в своїй роботі порушень чинного законодавства і положень цих Правил.</w:t>
            </w:r>
          </w:p>
          <w:p w:rsidR="006943A7" w:rsidRPr="00A70686" w:rsidRDefault="006943A7" w:rsidP="00A70686">
            <w:pPr>
              <w:pStyle w:val="BodyText"/>
              <w:ind w:right="20" w:firstLine="700"/>
              <w:jc w:val="both"/>
              <w:rPr>
                <w:rStyle w:val="BodyTextChar"/>
                <w:color w:val="000000"/>
                <w:lang w:val="uk-UA"/>
              </w:rPr>
            </w:pPr>
            <w:r w:rsidRPr="00A70686">
              <w:rPr>
                <w:rStyle w:val="5"/>
                <w:color w:val="000000"/>
                <w:sz w:val="24"/>
                <w:szCs w:val="24"/>
              </w:rPr>
              <w:t>У разі виявлення будь-яких недоліків Сторони вживають дійових заходів для їх усунення в найкоротший термін</w:t>
            </w:r>
          </w:p>
          <w:p w:rsidR="006943A7" w:rsidRPr="00A70686" w:rsidRDefault="006943A7" w:rsidP="00A70686">
            <w:pPr>
              <w:pStyle w:val="BodyText"/>
              <w:ind w:right="20" w:firstLine="700"/>
              <w:jc w:val="both"/>
              <w:rPr>
                <w:sz w:val="22"/>
                <w:szCs w:val="22"/>
              </w:rPr>
            </w:pPr>
            <w:r w:rsidRPr="00A70686">
              <w:rPr>
                <w:rStyle w:val="BodyTextChar"/>
                <w:color w:val="000000"/>
                <w:lang w:val="uk-UA"/>
              </w:rPr>
              <w:t>Сторони, зобов’язуються вчинити всі дії щодо досудового врегулювання спорів.</w:t>
            </w:r>
          </w:p>
          <w:p w:rsidR="006943A7" w:rsidRPr="00A70686" w:rsidRDefault="006943A7" w:rsidP="00A70686">
            <w:pPr>
              <w:pStyle w:val="BodyText"/>
              <w:jc w:val="both"/>
              <w:rPr>
                <w:sz w:val="22"/>
                <w:szCs w:val="22"/>
              </w:rPr>
            </w:pPr>
            <w:r w:rsidRPr="00A70686">
              <w:rPr>
                <w:sz w:val="22"/>
                <w:szCs w:val="22"/>
                <w:highlight w:val="yellow"/>
              </w:rPr>
              <w:t>Надонаписать про Комиссию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BodyText"/>
              <w:ind w:firstLine="700"/>
              <w:jc w:val="both"/>
              <w:rPr>
                <w:rStyle w:val="BodyTextChar"/>
                <w:lang w:val="uk-UA"/>
              </w:rPr>
            </w:pPr>
            <w:r w:rsidRPr="00A70686">
              <w:rPr>
                <w:rStyle w:val="BodyTextChar"/>
                <w:lang w:val="uk-UA"/>
              </w:rPr>
              <w:t>Всі Сторони розуміють, що найефективнішою формою контролю є самоконтроль. Тому вони слідкують за тим, щоб не допускати в своїй роботі порушень чинного законодавства і положень цих Правил.</w:t>
            </w:r>
          </w:p>
          <w:p w:rsidR="006943A7" w:rsidRPr="00A70686" w:rsidRDefault="006943A7" w:rsidP="00A70686">
            <w:pPr>
              <w:pStyle w:val="BodyText"/>
              <w:ind w:firstLine="700"/>
              <w:jc w:val="both"/>
              <w:rPr>
                <w:rStyle w:val="BodyTextChar"/>
                <w:lang w:val="uk-UA"/>
              </w:rPr>
            </w:pPr>
            <w:r w:rsidRPr="00A70686">
              <w:rPr>
                <w:rStyle w:val="BodyTextChar"/>
                <w:lang w:val="uk-UA"/>
              </w:rPr>
              <w:t xml:space="preserve">Задля забезпечення контролю за порушенням Правил створюється Комісія з 9-ти осіб, </w:t>
            </w:r>
            <w:commentRangeStart w:id="3"/>
            <w:r w:rsidRPr="00A70686">
              <w:rPr>
                <w:rStyle w:val="BodyTextChar"/>
                <w:lang w:val="uk-UA"/>
              </w:rPr>
              <w:t xml:space="preserve">по 3 особи від АМКУ, операторів і провайдерів та енергопостачальних компаній. </w:t>
            </w:r>
            <w:commentRangeEnd w:id="3"/>
            <w:r w:rsidRPr="00A70686">
              <w:rPr>
                <w:rStyle w:val="BodyTextChar"/>
                <w:lang w:val="uk-UA"/>
              </w:rPr>
              <w:commentReference w:id="3"/>
            </w:r>
            <w:r w:rsidRPr="00A70686">
              <w:rPr>
                <w:rStyle w:val="BodyTextChar"/>
                <w:lang w:val="uk-UA"/>
              </w:rPr>
              <w:t>Члени Комісії обираються шляхом рейтингового голосування з членів робочої підгрупи і виконують свої обов’язки на громадських засадах. В обов’язки Комісії входить досудове вирішення спірних випадків у тому випадку коли суб’єкти сторін не дійшли згоди самостійно.</w:t>
            </w:r>
          </w:p>
          <w:p w:rsidR="006943A7" w:rsidRPr="00A70686" w:rsidRDefault="006943A7" w:rsidP="00A70686">
            <w:pPr>
              <w:pStyle w:val="BodyText"/>
              <w:ind w:firstLine="700"/>
              <w:jc w:val="both"/>
              <w:rPr>
                <w:rStyle w:val="BodyTextChar"/>
                <w:b/>
                <w:bCs/>
                <w:color w:val="70AD47"/>
                <w:lang w:val="uk-UA"/>
              </w:rPr>
            </w:pPr>
            <w:r>
              <w:rPr>
                <w:rStyle w:val="BodyTextChar"/>
                <w:b/>
                <w:bCs/>
                <w:color w:val="70AD47"/>
                <w:lang w:val="uk-UA"/>
              </w:rPr>
              <w:t xml:space="preserve">Звернення до Комісії </w:t>
            </w:r>
            <w:r w:rsidRPr="00A70686">
              <w:rPr>
                <w:rStyle w:val="BodyTextChar"/>
                <w:b/>
                <w:bCs/>
                <w:color w:val="70AD47"/>
                <w:lang w:val="uk-UA"/>
              </w:rPr>
              <w:t xml:space="preserve"> не обмежує Сторони звертатися до суду. </w:t>
            </w:r>
          </w:p>
          <w:p w:rsidR="006943A7" w:rsidRPr="00A70686" w:rsidRDefault="006943A7" w:rsidP="00A70686">
            <w:pPr>
              <w:pStyle w:val="BodyText"/>
              <w:tabs>
                <w:tab w:val="left" w:pos="1134"/>
                <w:tab w:val="left" w:pos="1470"/>
              </w:tabs>
              <w:spacing w:line="276" w:lineRule="auto"/>
              <w:ind w:right="40" w:firstLine="709"/>
              <w:jc w:val="both"/>
              <w:rPr>
                <w:rStyle w:val="BodyTextChar"/>
                <w:lang w:val="uk-UA"/>
              </w:rPr>
            </w:pPr>
            <w:r w:rsidRPr="00A70686">
              <w:rPr>
                <w:rStyle w:val="BodyTextChar"/>
                <w:lang w:val="uk-UA"/>
              </w:rPr>
              <w:t>При наявності фактів порушень Правил будь-якої із Сторін,  інша Сторона має право вимагати припинення його вчинення шляхом звернення до Сторони, що вчинила порушення у письмовому порядку з обов’язковим зазначенням фактів вчинення відповідного діяння. Сторона, що вважається такою, що вчинила порушення надає пояснення з приводу порушень протягом 14 календарних днів з моменту отриманнязвернення.  Надалі Сторони зобов’язані дійти згоди, яким чином порушення  (у разі його наявності) може бути виправлене. У разі недосягнення згоди, Сторона, яка ініціювала розгляд порушення, має право продовжити розгляд справи у передбаченому законодавством порядку.</w:t>
            </w:r>
          </w:p>
          <w:p w:rsidR="006943A7" w:rsidRPr="00A70686" w:rsidRDefault="006943A7" w:rsidP="00A70686">
            <w:pPr>
              <w:pStyle w:val="BodyText"/>
              <w:ind w:firstLine="700"/>
              <w:jc w:val="both"/>
              <w:rPr>
                <w:rStyle w:val="BodyTextChar"/>
                <w:lang w:val="uk-UA"/>
              </w:rPr>
            </w:pPr>
          </w:p>
          <w:p w:rsidR="006943A7" w:rsidRPr="00A70686" w:rsidRDefault="006943A7" w:rsidP="00A70686">
            <w:pPr>
              <w:pStyle w:val="BodyText"/>
              <w:jc w:val="both"/>
              <w:rPr>
                <w:rStyle w:val="BodyTextChar"/>
                <w:lang w:val="uk-UA"/>
              </w:rPr>
            </w:pP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pStyle w:val="90"/>
              <w:keepNext/>
              <w:keepLines/>
              <w:shd w:val="clear" w:color="auto" w:fill="auto"/>
              <w:tabs>
                <w:tab w:val="left" w:pos="4040"/>
              </w:tabs>
              <w:spacing w:before="0" w:after="210" w:line="260" w:lineRule="exact"/>
              <w:ind w:left="720"/>
              <w:jc w:val="center"/>
              <w:rPr>
                <w:rStyle w:val="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" w:name="bookmark20"/>
            <w:r w:rsidRPr="00A7068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Розділ 7.</w:t>
            </w:r>
            <w:r w:rsidRPr="00A70686">
              <w:rPr>
                <w:rStyle w:val="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Заключні положення</w:t>
            </w:r>
            <w:bookmarkEnd w:id="4"/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70686">
              <w:rPr>
                <w:rStyle w:val="5"/>
                <w:color w:val="000000"/>
                <w:sz w:val="24"/>
                <w:szCs w:val="24"/>
              </w:rPr>
              <w:t xml:space="preserve">Сторони вважають приєднання до </w:t>
            </w:r>
            <w:r w:rsidRPr="00A70686">
              <w:rPr>
                <w:rStyle w:val="5"/>
                <w:color w:val="000000"/>
                <w:sz w:val="24"/>
                <w:szCs w:val="24"/>
              </w:rPr>
              <w:t>Правил</w:t>
            </w:r>
            <w:r w:rsidRPr="00A70686">
              <w:rPr>
                <w:rStyle w:val="5"/>
                <w:color w:val="000000"/>
                <w:sz w:val="24"/>
                <w:szCs w:val="24"/>
              </w:rPr>
              <w:t>та виконання вимог законодавства та положень цих Правил справою своєї професійної честі.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0"/>
              <w:ind w:firstLine="0"/>
              <w:jc w:val="both"/>
              <w:rPr>
                <w:rStyle w:val="5"/>
                <w:color w:val="000000"/>
                <w:sz w:val="24"/>
                <w:szCs w:val="24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70686">
              <w:rPr>
                <w:rStyle w:val="5"/>
                <w:color w:val="000000"/>
                <w:sz w:val="24"/>
                <w:szCs w:val="24"/>
              </w:rPr>
              <w:t>Вони мають докладати максимум зусиль для дотримання принципів, положень і вимог даних Правил, метою і сенсом яких є розвиток чесних звичаїв у підприємницькій діяльності та запровадження норм професійної етики у конкуренції.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0"/>
              <w:ind w:firstLine="0"/>
              <w:jc w:val="both"/>
              <w:rPr>
                <w:rStyle w:val="5"/>
                <w:color w:val="000000"/>
                <w:sz w:val="24"/>
                <w:szCs w:val="24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70686">
              <w:rPr>
                <w:rStyle w:val="5"/>
                <w:color w:val="000000"/>
                <w:sz w:val="24"/>
                <w:szCs w:val="24"/>
              </w:rPr>
              <w:t>До цих Правил можуть бути внесені зміни і доповнення з врахуванням практичного досвіду Сторін щодо дій у конкуренції та змінами українського законодавства.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0"/>
              <w:ind w:firstLine="0"/>
              <w:jc w:val="both"/>
              <w:rPr>
                <w:rStyle w:val="5"/>
                <w:color w:val="000000"/>
                <w:sz w:val="24"/>
                <w:szCs w:val="24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275"/>
              <w:ind w:firstLine="0"/>
              <w:jc w:val="both"/>
              <w:rPr>
                <w:sz w:val="24"/>
                <w:szCs w:val="24"/>
              </w:rPr>
            </w:pPr>
            <w:r w:rsidRPr="00A70686">
              <w:rPr>
                <w:rStyle w:val="5"/>
                <w:color w:val="000000"/>
                <w:sz w:val="24"/>
                <w:szCs w:val="24"/>
              </w:rPr>
              <w:t xml:space="preserve">Правила є безстроковими. Дія Правил може бути припинена для однієї із Сторін за умови письмового </w:t>
            </w:r>
            <w:r w:rsidRPr="00A70686">
              <w:rPr>
                <w:rStyle w:val="5"/>
                <w:color w:val="000000"/>
                <w:sz w:val="24"/>
                <w:szCs w:val="24"/>
              </w:rPr>
              <w:t>попередження</w:t>
            </w:r>
            <w:r w:rsidRPr="00A70686">
              <w:rPr>
                <w:rStyle w:val="5"/>
                <w:color w:val="000000"/>
                <w:sz w:val="24"/>
                <w:szCs w:val="24"/>
              </w:rPr>
              <w:t xml:space="preserve"> про це інших Сторін. Дія Правил для такої сторони припиняється через місяць від дня одержання іншими Сторонами такого повідомлення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275"/>
              <w:ind w:firstLine="0"/>
              <w:jc w:val="both"/>
              <w:rPr>
                <w:rStyle w:val="5"/>
                <w:color w:val="000000"/>
                <w:sz w:val="24"/>
                <w:szCs w:val="24"/>
              </w:rPr>
            </w:pPr>
            <w:r w:rsidRPr="00A70686">
              <w:rPr>
                <w:rStyle w:val="5"/>
                <w:color w:val="000000"/>
                <w:sz w:val="24"/>
                <w:szCs w:val="24"/>
              </w:rPr>
              <w:t>.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70686">
              <w:rPr>
                <w:rStyle w:val="5"/>
                <w:color w:val="000000"/>
                <w:sz w:val="24"/>
                <w:szCs w:val="24"/>
              </w:rPr>
              <w:t>Сторони оприлюднять зміст даних Правил, після чого положення цих Правил є обов’язковими до виконання.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line="278" w:lineRule="exact"/>
              <w:ind w:firstLine="0"/>
              <w:jc w:val="both"/>
              <w:rPr>
                <w:rStyle w:val="5"/>
                <w:color w:val="000000"/>
                <w:sz w:val="24"/>
                <w:szCs w:val="24"/>
              </w:rPr>
            </w:pP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244" w:line="278" w:lineRule="exact"/>
              <w:ind w:firstLine="0"/>
              <w:jc w:val="both"/>
              <w:rPr>
                <w:rStyle w:val="5"/>
                <w:color w:val="000000"/>
                <w:sz w:val="24"/>
                <w:szCs w:val="24"/>
              </w:rPr>
            </w:pPr>
            <w:r w:rsidRPr="00A70686">
              <w:rPr>
                <w:rStyle w:val="5"/>
                <w:color w:val="000000"/>
                <w:sz w:val="24"/>
                <w:szCs w:val="24"/>
              </w:rPr>
              <w:t>Приєднання до Правил є добровільним і здійснюється в індивідуальному порядку.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pStyle w:val="51"/>
              <w:shd w:val="clear" w:color="auto" w:fill="auto"/>
              <w:spacing w:after="244" w:line="278" w:lineRule="exact"/>
              <w:ind w:firstLine="0"/>
              <w:jc w:val="both"/>
              <w:rPr>
                <w:rStyle w:val="5"/>
                <w:color w:val="000000"/>
                <w:sz w:val="24"/>
                <w:szCs w:val="24"/>
              </w:rPr>
            </w:pP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86">
              <w:rPr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 xml:space="preserve">Додаток </w:t>
            </w:r>
            <w:r w:rsidRPr="00A70686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Типові рекомендації по сумісній підвісці (проект)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sz w:val="22"/>
                <w:szCs w:val="22"/>
                <w:highlight w:val="yellow"/>
              </w:rPr>
            </w:pPr>
            <w:r w:rsidRPr="00A70686">
              <w:rPr>
                <w:color w:val="000000"/>
                <w:sz w:val="22"/>
                <w:szCs w:val="22"/>
                <w:highlight w:val="yellow"/>
              </w:rPr>
              <w:t>Енергопостачаюча організація видає операторам/</w:t>
            </w:r>
            <w:r w:rsidRPr="00A70686">
              <w:rPr>
                <w:sz w:val="22"/>
                <w:szCs w:val="22"/>
                <w:highlight w:val="yellow"/>
              </w:rPr>
              <w:t xml:space="preserve">провайдерам Типові Технічні Рекомендації для подальшого проектування розміщення волоконно-оптичних ліній зв’язку при сумісному підвішенні з використанням опор ПЛ 0,4 кВ 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70686">
              <w:rPr>
                <w:color w:val="000000"/>
                <w:sz w:val="22"/>
                <w:szCs w:val="22"/>
                <w:highlight w:val="yellow"/>
              </w:rPr>
              <w:t>Ці Рекомендації мають передбачати проектні вимоги щодо конструкцій ВОЛ та їх складових, щодо розміщення ВОЛ на об’єктах енергетики та однакові умови виконання технічної документації.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70686">
              <w:rPr>
                <w:color w:val="000000"/>
                <w:sz w:val="22"/>
                <w:szCs w:val="22"/>
                <w:highlight w:val="yellow"/>
              </w:rPr>
              <w:t>Оператори/провайдери маркують свої кабелі біркою (шильдиком) на кожній опорі, з зазначенням назви Оператора/провайдера і своєї контактної інформації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70686">
              <w:rPr>
                <w:color w:val="000000"/>
                <w:sz w:val="22"/>
                <w:szCs w:val="22"/>
                <w:highlight w:val="yellow"/>
              </w:rPr>
              <w:t>Кількість оптичних муфт (fiberopticspliceclosure) на опору обмежується: 1 муфта на 1 опору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70686">
              <w:rPr>
                <w:color w:val="000000"/>
                <w:sz w:val="22"/>
                <w:szCs w:val="22"/>
                <w:highlight w:val="yellow"/>
              </w:rPr>
              <w:t>Провайдери опрацьовують заходи щодо мінімізації технологічних запасів кабелю, які не суперечать відповідним стандартам і нормативним актам і виключають розміщення кількох технологічних запасів і муфт на одній опорі.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7510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70686">
              <w:rPr>
                <w:color w:val="000000"/>
                <w:sz w:val="22"/>
                <w:szCs w:val="22"/>
                <w:highlight w:val="yellow"/>
              </w:rPr>
              <w:t>Максимальний діаметр технологічного запасу обмежується 70 см</w:t>
            </w:r>
          </w:p>
        </w:tc>
        <w:tc>
          <w:tcPr>
            <w:tcW w:w="7511" w:type="dxa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496711">
              <w:rPr>
                <w:b/>
                <w:bCs/>
                <w:color w:val="FF0000"/>
                <w:sz w:val="22"/>
                <w:szCs w:val="22"/>
              </w:rPr>
              <w:t>виключити</w:t>
            </w:r>
          </w:p>
        </w:tc>
      </w:tr>
      <w:tr w:rsidR="006943A7" w:rsidRPr="007E21FB">
        <w:tc>
          <w:tcPr>
            <w:tcW w:w="15021" w:type="dxa"/>
            <w:gridSpan w:val="2"/>
          </w:tcPr>
          <w:p w:rsidR="006943A7" w:rsidRPr="00A70686" w:rsidRDefault="006943A7" w:rsidP="00A70686">
            <w:pPr>
              <w:widowControl w:val="0"/>
              <w:spacing w:after="12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0686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Також доцільно окремо розробити Додатками примірний Договір, Порядок доступу тощо</w:t>
            </w:r>
          </w:p>
        </w:tc>
      </w:tr>
    </w:tbl>
    <w:p w:rsidR="006943A7" w:rsidRPr="007E21FB" w:rsidRDefault="006943A7" w:rsidP="00FE2496">
      <w:pPr>
        <w:pStyle w:val="BodyText"/>
        <w:spacing w:line="260" w:lineRule="exact"/>
        <w:ind w:right="20"/>
      </w:pPr>
    </w:p>
    <w:p w:rsidR="006943A7" w:rsidRPr="007E21FB" w:rsidRDefault="006943A7"/>
    <w:sectPr w:rsidR="006943A7" w:rsidRPr="007E21FB" w:rsidSect="00FE24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Maria Kobets" w:date="1940-15-05T04:12:00Z" w:initials="MK">
    <w:p w:rsidR="006943A7" w:rsidRDefault="006943A7" w:rsidP="00531DEF">
      <w:pPr>
        <w:pStyle w:val="CommentText"/>
      </w:pPr>
      <w:r>
        <w:rPr>
          <w:rStyle w:val="CommentReference"/>
        </w:rPr>
        <w:annotationRef/>
      </w:r>
      <w:r>
        <w:rPr>
          <w:lang w:val="uk-UA"/>
        </w:rPr>
        <w:t>Не будетли споров по количествупредставителей от провайдеров и опетаторов, поскольку у них на двоих не одинаковоеколичествопредставителей, мызаведомоставим одну изсторон не в равныеусловия 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12" w:hanging="360"/>
      </w:pPr>
      <w:rPr>
        <w:rFonts w:ascii="Symbol" w:hAnsi="Symbol" w:cs="Symbol"/>
      </w:rPr>
    </w:lvl>
  </w:abstractNum>
  <w:abstractNum w:abstractNumId="1">
    <w:nsid w:val="1E794304"/>
    <w:multiLevelType w:val="multilevel"/>
    <w:tmpl w:val="43186460"/>
    <w:lvl w:ilvl="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9C704F"/>
    <w:multiLevelType w:val="hybridMultilevel"/>
    <w:tmpl w:val="AD1823E2"/>
    <w:lvl w:ilvl="0" w:tplc="0C7677C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B6077D"/>
    <w:multiLevelType w:val="multilevel"/>
    <w:tmpl w:val="FDF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16F2DF7"/>
    <w:multiLevelType w:val="hybridMultilevel"/>
    <w:tmpl w:val="22B86568"/>
    <w:lvl w:ilvl="0" w:tplc="AD4E0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66125"/>
    <w:multiLevelType w:val="hybridMultilevel"/>
    <w:tmpl w:val="3B548F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96"/>
    <w:rsid w:val="00006B1B"/>
    <w:rsid w:val="000105B2"/>
    <w:rsid w:val="00013845"/>
    <w:rsid w:val="0002649C"/>
    <w:rsid w:val="00035085"/>
    <w:rsid w:val="00052E68"/>
    <w:rsid w:val="00062570"/>
    <w:rsid w:val="000729D7"/>
    <w:rsid w:val="00076E39"/>
    <w:rsid w:val="00094E1B"/>
    <w:rsid w:val="000B2A24"/>
    <w:rsid w:val="000B7907"/>
    <w:rsid w:val="000B79E8"/>
    <w:rsid w:val="000C55BD"/>
    <w:rsid w:val="000D2753"/>
    <w:rsid w:val="000D5181"/>
    <w:rsid w:val="000F4E90"/>
    <w:rsid w:val="00112B09"/>
    <w:rsid w:val="00121E2F"/>
    <w:rsid w:val="00123A7A"/>
    <w:rsid w:val="001348A9"/>
    <w:rsid w:val="00140B38"/>
    <w:rsid w:val="00184269"/>
    <w:rsid w:val="00191F15"/>
    <w:rsid w:val="0019543F"/>
    <w:rsid w:val="001B0631"/>
    <w:rsid w:val="001B4393"/>
    <w:rsid w:val="001B5CBD"/>
    <w:rsid w:val="001C0838"/>
    <w:rsid w:val="001C3F40"/>
    <w:rsid w:val="001D0919"/>
    <w:rsid w:val="001D1A69"/>
    <w:rsid w:val="001F15C6"/>
    <w:rsid w:val="001F57B4"/>
    <w:rsid w:val="001F5AA5"/>
    <w:rsid w:val="002054DA"/>
    <w:rsid w:val="0021377D"/>
    <w:rsid w:val="002162B7"/>
    <w:rsid w:val="00230794"/>
    <w:rsid w:val="00241A97"/>
    <w:rsid w:val="00242634"/>
    <w:rsid w:val="0025530C"/>
    <w:rsid w:val="00276EEC"/>
    <w:rsid w:val="00281489"/>
    <w:rsid w:val="002936A5"/>
    <w:rsid w:val="00295E20"/>
    <w:rsid w:val="00296E26"/>
    <w:rsid w:val="002A2488"/>
    <w:rsid w:val="002A7A85"/>
    <w:rsid w:val="002C1F8C"/>
    <w:rsid w:val="002C759B"/>
    <w:rsid w:val="002F1E7E"/>
    <w:rsid w:val="00304494"/>
    <w:rsid w:val="0031578A"/>
    <w:rsid w:val="003205A6"/>
    <w:rsid w:val="00342737"/>
    <w:rsid w:val="0034435F"/>
    <w:rsid w:val="00370B53"/>
    <w:rsid w:val="0037115F"/>
    <w:rsid w:val="00373118"/>
    <w:rsid w:val="003763AD"/>
    <w:rsid w:val="00376D49"/>
    <w:rsid w:val="00383998"/>
    <w:rsid w:val="00386F90"/>
    <w:rsid w:val="003A0968"/>
    <w:rsid w:val="003B1FBF"/>
    <w:rsid w:val="003B2FD9"/>
    <w:rsid w:val="003B50FE"/>
    <w:rsid w:val="003B75DF"/>
    <w:rsid w:val="003C0448"/>
    <w:rsid w:val="003C0E8D"/>
    <w:rsid w:val="00402FFB"/>
    <w:rsid w:val="004146EE"/>
    <w:rsid w:val="00417EE0"/>
    <w:rsid w:val="0042386F"/>
    <w:rsid w:val="00441655"/>
    <w:rsid w:val="00453560"/>
    <w:rsid w:val="00465429"/>
    <w:rsid w:val="00493ECA"/>
    <w:rsid w:val="00496711"/>
    <w:rsid w:val="004A1D55"/>
    <w:rsid w:val="004A7E39"/>
    <w:rsid w:val="004C38CD"/>
    <w:rsid w:val="004C5D7F"/>
    <w:rsid w:val="004C64F7"/>
    <w:rsid w:val="004D7B83"/>
    <w:rsid w:val="004E114B"/>
    <w:rsid w:val="004F077E"/>
    <w:rsid w:val="004F4407"/>
    <w:rsid w:val="0050462B"/>
    <w:rsid w:val="00531DEF"/>
    <w:rsid w:val="0053494E"/>
    <w:rsid w:val="0053685A"/>
    <w:rsid w:val="005414F8"/>
    <w:rsid w:val="005630BB"/>
    <w:rsid w:val="0056786C"/>
    <w:rsid w:val="00577691"/>
    <w:rsid w:val="00582EF2"/>
    <w:rsid w:val="00596410"/>
    <w:rsid w:val="005B2CAC"/>
    <w:rsid w:val="005C68E6"/>
    <w:rsid w:val="005D5C11"/>
    <w:rsid w:val="005F0CD4"/>
    <w:rsid w:val="00610A73"/>
    <w:rsid w:val="00614D45"/>
    <w:rsid w:val="00615505"/>
    <w:rsid w:val="0061784F"/>
    <w:rsid w:val="006178E8"/>
    <w:rsid w:val="00620844"/>
    <w:rsid w:val="006236FC"/>
    <w:rsid w:val="0064365F"/>
    <w:rsid w:val="00660FB3"/>
    <w:rsid w:val="00664887"/>
    <w:rsid w:val="00670814"/>
    <w:rsid w:val="00681287"/>
    <w:rsid w:val="006943A7"/>
    <w:rsid w:val="006B02A9"/>
    <w:rsid w:val="006C0BCC"/>
    <w:rsid w:val="006D1520"/>
    <w:rsid w:val="006E7BF2"/>
    <w:rsid w:val="006F2048"/>
    <w:rsid w:val="006F3D3C"/>
    <w:rsid w:val="006F6FAC"/>
    <w:rsid w:val="00702613"/>
    <w:rsid w:val="00702EEF"/>
    <w:rsid w:val="00703C1C"/>
    <w:rsid w:val="0071445B"/>
    <w:rsid w:val="007303C5"/>
    <w:rsid w:val="00740CAD"/>
    <w:rsid w:val="00752BB4"/>
    <w:rsid w:val="00763FD8"/>
    <w:rsid w:val="007928D5"/>
    <w:rsid w:val="007968C1"/>
    <w:rsid w:val="007A4212"/>
    <w:rsid w:val="007B1C50"/>
    <w:rsid w:val="007E0D3D"/>
    <w:rsid w:val="007E21FB"/>
    <w:rsid w:val="00800FA2"/>
    <w:rsid w:val="00814450"/>
    <w:rsid w:val="00822C6A"/>
    <w:rsid w:val="0082652B"/>
    <w:rsid w:val="00826C43"/>
    <w:rsid w:val="00827DA3"/>
    <w:rsid w:val="00827FBB"/>
    <w:rsid w:val="008345A2"/>
    <w:rsid w:val="00846C8E"/>
    <w:rsid w:val="00846FDF"/>
    <w:rsid w:val="00847F9A"/>
    <w:rsid w:val="00850C96"/>
    <w:rsid w:val="0085790A"/>
    <w:rsid w:val="008601E8"/>
    <w:rsid w:val="00861F4C"/>
    <w:rsid w:val="008646CD"/>
    <w:rsid w:val="00870C7C"/>
    <w:rsid w:val="00880E82"/>
    <w:rsid w:val="008847EA"/>
    <w:rsid w:val="008869D8"/>
    <w:rsid w:val="008A1768"/>
    <w:rsid w:val="008A644A"/>
    <w:rsid w:val="008B7E9C"/>
    <w:rsid w:val="008C2E89"/>
    <w:rsid w:val="008D7C70"/>
    <w:rsid w:val="008E4C0F"/>
    <w:rsid w:val="008E539F"/>
    <w:rsid w:val="008F79F9"/>
    <w:rsid w:val="00907DAA"/>
    <w:rsid w:val="009147A0"/>
    <w:rsid w:val="009225F4"/>
    <w:rsid w:val="0092366E"/>
    <w:rsid w:val="00943531"/>
    <w:rsid w:val="009630B9"/>
    <w:rsid w:val="009640FE"/>
    <w:rsid w:val="009909A3"/>
    <w:rsid w:val="009930A0"/>
    <w:rsid w:val="009A2936"/>
    <w:rsid w:val="009A6486"/>
    <w:rsid w:val="009B7AD0"/>
    <w:rsid w:val="009C059D"/>
    <w:rsid w:val="009C2198"/>
    <w:rsid w:val="009C7C5B"/>
    <w:rsid w:val="009D6AE1"/>
    <w:rsid w:val="009E350E"/>
    <w:rsid w:val="00A02881"/>
    <w:rsid w:val="00A04452"/>
    <w:rsid w:val="00A05C98"/>
    <w:rsid w:val="00A07F33"/>
    <w:rsid w:val="00A141D2"/>
    <w:rsid w:val="00A22FB0"/>
    <w:rsid w:val="00A23902"/>
    <w:rsid w:val="00A36D2A"/>
    <w:rsid w:val="00A41BC6"/>
    <w:rsid w:val="00A51983"/>
    <w:rsid w:val="00A62A1F"/>
    <w:rsid w:val="00A67D40"/>
    <w:rsid w:val="00A70686"/>
    <w:rsid w:val="00A80D9D"/>
    <w:rsid w:val="00A9091B"/>
    <w:rsid w:val="00A9281B"/>
    <w:rsid w:val="00A95C99"/>
    <w:rsid w:val="00AA4BD3"/>
    <w:rsid w:val="00AB556E"/>
    <w:rsid w:val="00AD0F79"/>
    <w:rsid w:val="00AD1357"/>
    <w:rsid w:val="00AD260E"/>
    <w:rsid w:val="00AD638F"/>
    <w:rsid w:val="00B04251"/>
    <w:rsid w:val="00B05474"/>
    <w:rsid w:val="00B11B2D"/>
    <w:rsid w:val="00B17156"/>
    <w:rsid w:val="00B172A2"/>
    <w:rsid w:val="00B2185B"/>
    <w:rsid w:val="00B22152"/>
    <w:rsid w:val="00B26A67"/>
    <w:rsid w:val="00B32B40"/>
    <w:rsid w:val="00B40143"/>
    <w:rsid w:val="00B608BB"/>
    <w:rsid w:val="00B60902"/>
    <w:rsid w:val="00B6578E"/>
    <w:rsid w:val="00BA28A5"/>
    <w:rsid w:val="00BB3CAB"/>
    <w:rsid w:val="00BC72D3"/>
    <w:rsid w:val="00BE506B"/>
    <w:rsid w:val="00BF19DC"/>
    <w:rsid w:val="00BF2E2D"/>
    <w:rsid w:val="00BF5725"/>
    <w:rsid w:val="00C036F2"/>
    <w:rsid w:val="00C07EB8"/>
    <w:rsid w:val="00C27E2A"/>
    <w:rsid w:val="00C33676"/>
    <w:rsid w:val="00C4132A"/>
    <w:rsid w:val="00C52C34"/>
    <w:rsid w:val="00C54EFD"/>
    <w:rsid w:val="00C60188"/>
    <w:rsid w:val="00C7092E"/>
    <w:rsid w:val="00C731A8"/>
    <w:rsid w:val="00C74771"/>
    <w:rsid w:val="00C84F13"/>
    <w:rsid w:val="00C95D52"/>
    <w:rsid w:val="00C97DE4"/>
    <w:rsid w:val="00CB56E6"/>
    <w:rsid w:val="00CD163B"/>
    <w:rsid w:val="00CF11EB"/>
    <w:rsid w:val="00CF3FA3"/>
    <w:rsid w:val="00D254A3"/>
    <w:rsid w:val="00D273B5"/>
    <w:rsid w:val="00D35B72"/>
    <w:rsid w:val="00D5546F"/>
    <w:rsid w:val="00D57B0B"/>
    <w:rsid w:val="00D6123B"/>
    <w:rsid w:val="00D72F4D"/>
    <w:rsid w:val="00D7503F"/>
    <w:rsid w:val="00D76F2C"/>
    <w:rsid w:val="00D8162C"/>
    <w:rsid w:val="00DA7B43"/>
    <w:rsid w:val="00DC2F6C"/>
    <w:rsid w:val="00DC5093"/>
    <w:rsid w:val="00DD0C42"/>
    <w:rsid w:val="00DE120D"/>
    <w:rsid w:val="00DF5351"/>
    <w:rsid w:val="00E37F2D"/>
    <w:rsid w:val="00E40B49"/>
    <w:rsid w:val="00E51C9C"/>
    <w:rsid w:val="00E51E0D"/>
    <w:rsid w:val="00E5693A"/>
    <w:rsid w:val="00E61CA1"/>
    <w:rsid w:val="00E65E2F"/>
    <w:rsid w:val="00E732E9"/>
    <w:rsid w:val="00E80EC4"/>
    <w:rsid w:val="00E83D12"/>
    <w:rsid w:val="00E84FDE"/>
    <w:rsid w:val="00E8521E"/>
    <w:rsid w:val="00E91A2A"/>
    <w:rsid w:val="00EA15C5"/>
    <w:rsid w:val="00EA5758"/>
    <w:rsid w:val="00ED4333"/>
    <w:rsid w:val="00ED7875"/>
    <w:rsid w:val="00ED78C7"/>
    <w:rsid w:val="00ED7D65"/>
    <w:rsid w:val="00F0626A"/>
    <w:rsid w:val="00F32AA0"/>
    <w:rsid w:val="00F46365"/>
    <w:rsid w:val="00F47CC6"/>
    <w:rsid w:val="00F63509"/>
    <w:rsid w:val="00F85723"/>
    <w:rsid w:val="00F867FD"/>
    <w:rsid w:val="00F9282C"/>
    <w:rsid w:val="00FA7807"/>
    <w:rsid w:val="00FB02FA"/>
    <w:rsid w:val="00FC0F57"/>
    <w:rsid w:val="00FC61CE"/>
    <w:rsid w:val="00FD089C"/>
    <w:rsid w:val="00F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9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E24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2496"/>
    <w:rPr>
      <w:rFonts w:ascii="Times New Roman" w:hAnsi="Times New Roman" w:cs="Times New Roman"/>
      <w:b/>
      <w:bCs/>
      <w:sz w:val="27"/>
      <w:szCs w:val="27"/>
      <w:lang w:eastAsia="uk-UA"/>
    </w:rPr>
  </w:style>
  <w:style w:type="table" w:styleId="TableGrid">
    <w:name w:val="Table Grid"/>
    <w:basedOn w:val="TableNormal"/>
    <w:uiPriority w:val="99"/>
    <w:rsid w:val="00FE24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E24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FE2496"/>
    <w:pPr>
      <w:spacing w:after="120" w:line="480" w:lineRule="auto"/>
    </w:pPr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24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FE2496"/>
    <w:rPr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FE2496"/>
    <w:pPr>
      <w:widowControl w:val="0"/>
      <w:shd w:val="clear" w:color="auto" w:fill="FFFFFF"/>
      <w:spacing w:before="240" w:after="180" w:line="216" w:lineRule="exact"/>
      <w:jc w:val="both"/>
    </w:pPr>
    <w:rPr>
      <w:rFonts w:ascii="Calibri" w:eastAsia="Calibri" w:hAnsi="Calibri" w:cs="Calibr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FE2496"/>
    <w:pPr>
      <w:ind w:left="720"/>
    </w:pPr>
  </w:style>
  <w:style w:type="character" w:customStyle="1" w:styleId="7">
    <w:name w:val="Основной текст (7)_"/>
    <w:basedOn w:val="DefaultParagraphFont"/>
    <w:link w:val="71"/>
    <w:uiPriority w:val="99"/>
    <w:locked/>
    <w:rsid w:val="00FE249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FE2496"/>
    <w:pPr>
      <w:widowControl w:val="0"/>
      <w:shd w:val="clear" w:color="auto" w:fill="FFFFFF"/>
      <w:spacing w:after="240" w:line="274" w:lineRule="exact"/>
      <w:jc w:val="center"/>
    </w:pPr>
    <w:rPr>
      <w:rFonts w:eastAsia="Calibri"/>
      <w:b/>
      <w:bCs/>
      <w:sz w:val="23"/>
      <w:szCs w:val="23"/>
      <w:lang w:eastAsia="en-US"/>
    </w:rPr>
  </w:style>
  <w:style w:type="paragraph" w:styleId="BodyText">
    <w:name w:val="Body Text"/>
    <w:basedOn w:val="Normal"/>
    <w:link w:val="BodyTextChar"/>
    <w:uiPriority w:val="99"/>
    <w:rsid w:val="00FE24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2496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FE2496"/>
    <w:rPr>
      <w:sz w:val="19"/>
      <w:szCs w:val="19"/>
      <w:shd w:val="clear" w:color="auto" w:fill="FFFFFF"/>
    </w:rPr>
  </w:style>
  <w:style w:type="character" w:customStyle="1" w:styleId="9">
    <w:name w:val="Заголовок №9_"/>
    <w:basedOn w:val="DefaultParagraphFont"/>
    <w:link w:val="90"/>
    <w:uiPriority w:val="99"/>
    <w:locked/>
    <w:rsid w:val="00FE2496"/>
    <w:rPr>
      <w:b/>
      <w:bCs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FE2496"/>
    <w:pPr>
      <w:widowControl w:val="0"/>
      <w:shd w:val="clear" w:color="auto" w:fill="FFFFFF"/>
      <w:spacing w:before="60" w:after="240" w:line="24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90">
    <w:name w:val="Заголовок №9"/>
    <w:basedOn w:val="Normal"/>
    <w:link w:val="9"/>
    <w:uiPriority w:val="99"/>
    <w:rsid w:val="00FE2496"/>
    <w:pPr>
      <w:widowControl w:val="0"/>
      <w:shd w:val="clear" w:color="auto" w:fill="FFFFFF"/>
      <w:spacing w:before="300" w:after="300" w:line="240" w:lineRule="atLeast"/>
      <w:jc w:val="right"/>
      <w:outlineLvl w:val="8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FE24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FE2496"/>
    <w:pPr>
      <w:widowControl w:val="0"/>
      <w:shd w:val="clear" w:color="auto" w:fill="FFFFFF"/>
      <w:spacing w:after="240" w:line="274" w:lineRule="exact"/>
      <w:ind w:hanging="2460"/>
      <w:jc w:val="center"/>
    </w:pPr>
    <w:rPr>
      <w:rFonts w:eastAsia="Calibri"/>
      <w:sz w:val="23"/>
      <w:szCs w:val="23"/>
      <w:lang w:eastAsia="en-US"/>
    </w:rPr>
  </w:style>
  <w:style w:type="paragraph" w:styleId="NoSpacing">
    <w:name w:val="No Spacing"/>
    <w:uiPriority w:val="99"/>
    <w:qFormat/>
    <w:rsid w:val="00D76F2C"/>
    <w:rPr>
      <w:rFonts w:cs="Calibri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rsid w:val="00643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365F"/>
    <w:pPr>
      <w:spacing w:after="200" w:line="276" w:lineRule="auto"/>
    </w:pPr>
    <w:rPr>
      <w:rFonts w:ascii="Calibri" w:eastAsia="Calibri" w:hAnsi="Calibri" w:cs="Calibri"/>
      <w:sz w:val="20"/>
      <w:szCs w:val="20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365F"/>
    <w:rPr>
      <w:rFonts w:ascii="Calibri" w:eastAsia="Times New Roman" w:hAnsi="Calibri" w:cs="Calibri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4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65F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kyivenergo.ua/ckeditor_assets/dk-ee/2015/Posluga_pidvisu/dkee_dogovir_pidvi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12</Pages>
  <Words>14638</Words>
  <Characters>8344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NaN</cp:lastModifiedBy>
  <cp:revision>31</cp:revision>
  <dcterms:created xsi:type="dcterms:W3CDTF">2015-11-13T15:29:00Z</dcterms:created>
  <dcterms:modified xsi:type="dcterms:W3CDTF">2015-11-19T14:34:00Z</dcterms:modified>
</cp:coreProperties>
</file>